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DA29CB" w:rsidRDefault="00E9572A" w:rsidP="009069E0">
      <w:pPr>
        <w:keepNext/>
        <w:spacing w:after="0" w:line="240" w:lineRule="auto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bookmarkStart w:id="0" w:name="_GoBack"/>
      <w:bookmarkEnd w:id="0"/>
      <w:r w:rsidRPr="00DA29CB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DA29CB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DA29CB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785443" w:rsidRPr="00DA29CB">
        <w:rPr>
          <w:rFonts w:ascii="Trebuchet MS" w:eastAsia="Batang" w:hAnsi="Trebuchet MS" w:cs="Calibri"/>
          <w:bCs/>
          <w:iCs/>
          <w:lang w:eastAsia="x-none"/>
        </w:rPr>
        <w:t>15</w:t>
      </w:r>
      <w:r w:rsidR="003D5EB1" w:rsidRPr="00DA29CB">
        <w:rPr>
          <w:rFonts w:ascii="Trebuchet MS" w:eastAsia="Batang" w:hAnsi="Trebuchet MS" w:cs="Calibri"/>
          <w:bCs/>
          <w:iCs/>
          <w:lang w:eastAsia="x-none"/>
        </w:rPr>
        <w:t xml:space="preserve"> marca</w:t>
      </w:r>
      <w:r w:rsidRPr="00DA29CB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DA29CB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DA29CB">
        <w:rPr>
          <w:rFonts w:ascii="Trebuchet MS" w:eastAsia="Batang" w:hAnsi="Trebuchet MS" w:cs="Calibri"/>
          <w:bCs/>
          <w:iCs/>
          <w:lang w:eastAsia="x-none"/>
        </w:rPr>
        <w:t>7</w:t>
      </w:r>
      <w:r w:rsidRPr="00DA29CB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DA29CB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DA29CB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DA29CB" w:rsidRDefault="00E9572A" w:rsidP="009069E0">
      <w:pPr>
        <w:shd w:val="clear" w:color="auto" w:fill="FFFFFF"/>
        <w:spacing w:after="0" w:line="240" w:lineRule="auto"/>
        <w:contextualSpacing/>
        <w:jc w:val="both"/>
        <w:rPr>
          <w:rFonts w:ascii="Trebuchet MS" w:hAnsi="Trebuchet MS" w:cs="Arial"/>
          <w:b/>
          <w:bCs/>
        </w:rPr>
      </w:pPr>
      <w:r w:rsidRPr="00DA29CB">
        <w:rPr>
          <w:rFonts w:ascii="Trebuchet MS" w:eastAsia="Batang" w:hAnsi="Trebuchet MS" w:cs="Calibri"/>
          <w:b/>
          <w:lang w:eastAsia="pl-PL"/>
        </w:rPr>
        <w:t xml:space="preserve">Dotyczy: </w:t>
      </w:r>
      <w:r w:rsidR="003D5EB1" w:rsidRPr="00DA29CB">
        <w:rPr>
          <w:rFonts w:ascii="Trebuchet MS" w:hAnsi="Trebuchet MS" w:cs="Arial"/>
          <w:b/>
        </w:rPr>
        <w:t>zamówienia na usługi społeczne o wartości poniżej 750 000 EURO, do których zastosowanie mają przepisy art. 138o ustawy z dnia 29 stycznia 2004 r. Prawo zam</w:t>
      </w:r>
      <w:r w:rsidR="00E646CE" w:rsidRPr="00DA29CB">
        <w:rPr>
          <w:rFonts w:ascii="Trebuchet MS" w:hAnsi="Trebuchet MS" w:cs="Arial"/>
          <w:b/>
        </w:rPr>
        <w:t xml:space="preserve">ówień publicznych (Dz. U. z 2015 r., poz. 2164 z </w:t>
      </w:r>
      <w:proofErr w:type="spellStart"/>
      <w:r w:rsidR="00E646CE" w:rsidRPr="00DA29CB">
        <w:rPr>
          <w:rFonts w:ascii="Trebuchet MS" w:hAnsi="Trebuchet MS" w:cs="Arial"/>
          <w:b/>
        </w:rPr>
        <w:t>poźń</w:t>
      </w:r>
      <w:proofErr w:type="spellEnd"/>
      <w:r w:rsidR="00E646CE" w:rsidRPr="00DA29CB">
        <w:rPr>
          <w:rFonts w:ascii="Trebuchet MS" w:hAnsi="Trebuchet MS" w:cs="Arial"/>
          <w:b/>
        </w:rPr>
        <w:t>. zm.</w:t>
      </w:r>
      <w:r w:rsidR="003D5EB1" w:rsidRPr="00DA29CB">
        <w:rPr>
          <w:rFonts w:ascii="Trebuchet MS" w:hAnsi="Trebuchet MS" w:cs="Arial"/>
          <w:b/>
        </w:rPr>
        <w:t xml:space="preserve">) na </w:t>
      </w:r>
      <w:r w:rsidR="003D5EB1" w:rsidRPr="00DA29CB">
        <w:rPr>
          <w:rFonts w:ascii="Trebuchet MS" w:hAnsi="Trebuchet MS" w:cs="Arial"/>
          <w:b/>
          <w:bCs/>
        </w:rPr>
        <w:t>„</w:t>
      </w:r>
      <w:r w:rsidR="003D5EB1" w:rsidRPr="00DA29CB">
        <w:rPr>
          <w:rFonts w:ascii="Trebuchet MS" w:hAnsi="Trebuchet MS"/>
          <w:b/>
        </w:rPr>
        <w:t>Świadczenie usług prawniczych i szkoleniowych na zlecenie Zamawiającego w związku z realizacją Programu Operacyjnego Polska Cyfrowa na lata 2014-2020 (POPC), II oś priorytetowa E-administracja i otwarty rząd</w:t>
      </w:r>
      <w:r w:rsidR="00F423A7">
        <w:rPr>
          <w:rFonts w:ascii="Trebuchet MS" w:hAnsi="Trebuchet MS" w:cs="Arial"/>
          <w:b/>
          <w:bCs/>
        </w:rPr>
        <w:t>” nr</w:t>
      </w:r>
      <w:r w:rsidR="003D5EB1" w:rsidRPr="00DA29CB">
        <w:rPr>
          <w:rFonts w:ascii="Trebuchet MS" w:hAnsi="Trebuchet MS" w:cs="Arial"/>
          <w:b/>
          <w:bCs/>
        </w:rPr>
        <w:t xml:space="preserve"> ZP/6/2017</w:t>
      </w:r>
      <w:r w:rsidR="00F423A7">
        <w:rPr>
          <w:rFonts w:ascii="Trebuchet MS" w:hAnsi="Trebuchet MS" w:cs="Arial"/>
          <w:b/>
          <w:bCs/>
        </w:rPr>
        <w:t>.</w:t>
      </w:r>
    </w:p>
    <w:p w:rsidR="00E9572A" w:rsidRPr="00DA29CB" w:rsidRDefault="00E9572A" w:rsidP="009069E0">
      <w:pPr>
        <w:spacing w:after="0" w:line="240" w:lineRule="auto"/>
        <w:contextualSpacing/>
        <w:rPr>
          <w:rFonts w:ascii="Trebuchet MS" w:eastAsia="Batang" w:hAnsi="Trebuchet MS" w:cs="Calibri"/>
          <w:b/>
          <w:lang w:eastAsia="pl-PL"/>
        </w:rPr>
      </w:pPr>
    </w:p>
    <w:p w:rsidR="00E9572A" w:rsidRDefault="00A24C80" w:rsidP="00DA29CB">
      <w:pPr>
        <w:spacing w:after="0" w:line="240" w:lineRule="auto"/>
        <w:contextualSpacing/>
        <w:jc w:val="center"/>
        <w:rPr>
          <w:rFonts w:ascii="Trebuchet MS" w:eastAsia="Batang" w:hAnsi="Trebuchet MS" w:cs="Calibri"/>
          <w:b/>
          <w:lang w:eastAsia="pl-PL"/>
        </w:rPr>
      </w:pPr>
      <w:r w:rsidRPr="00DA29CB">
        <w:rPr>
          <w:rFonts w:ascii="Trebuchet MS" w:eastAsia="Batang" w:hAnsi="Trebuchet MS" w:cs="Calibri"/>
          <w:b/>
          <w:lang w:eastAsia="pl-PL"/>
        </w:rPr>
        <w:t xml:space="preserve">Wyjaśnienia </w:t>
      </w:r>
      <w:r w:rsidR="00CB6961" w:rsidRPr="00DA29CB">
        <w:rPr>
          <w:rFonts w:ascii="Trebuchet MS" w:eastAsia="Batang" w:hAnsi="Trebuchet MS" w:cs="Calibri"/>
          <w:b/>
          <w:lang w:eastAsia="pl-PL"/>
        </w:rPr>
        <w:t xml:space="preserve">do </w:t>
      </w:r>
      <w:r w:rsidRPr="00DA29CB">
        <w:rPr>
          <w:rFonts w:ascii="Trebuchet MS" w:eastAsia="Batang" w:hAnsi="Trebuchet MS" w:cs="Calibri"/>
          <w:b/>
          <w:lang w:eastAsia="pl-PL"/>
        </w:rPr>
        <w:t>treści</w:t>
      </w:r>
      <w:r w:rsidR="00E9572A" w:rsidRPr="00DA29CB">
        <w:rPr>
          <w:rFonts w:ascii="Trebuchet MS" w:eastAsia="Batang" w:hAnsi="Trebuchet MS" w:cs="Calibri"/>
          <w:b/>
          <w:lang w:eastAsia="pl-PL"/>
        </w:rPr>
        <w:t xml:space="preserve"> </w:t>
      </w:r>
      <w:r w:rsidRPr="00DA29CB">
        <w:rPr>
          <w:rFonts w:ascii="Trebuchet MS" w:eastAsia="Batang" w:hAnsi="Trebuchet MS" w:cs="Calibri"/>
          <w:b/>
          <w:lang w:eastAsia="pl-PL"/>
        </w:rPr>
        <w:t>ogłoszenia o zamówienie</w:t>
      </w:r>
    </w:p>
    <w:p w:rsidR="00F423A7" w:rsidRPr="00DA29CB" w:rsidRDefault="00F423A7" w:rsidP="00DA29CB">
      <w:pPr>
        <w:spacing w:after="0" w:line="240" w:lineRule="auto"/>
        <w:contextualSpacing/>
        <w:jc w:val="center"/>
        <w:rPr>
          <w:rFonts w:ascii="Trebuchet MS" w:eastAsia="Batang" w:hAnsi="Trebuchet MS" w:cs="Calibri"/>
          <w:b/>
          <w:lang w:eastAsia="pl-PL"/>
        </w:rPr>
      </w:pPr>
    </w:p>
    <w:p w:rsidR="00E9572A" w:rsidRPr="00DA29CB" w:rsidRDefault="00E9572A" w:rsidP="00DA29CB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DA29CB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DA29CB">
        <w:rPr>
          <w:rFonts w:ascii="Trebuchet MS" w:eastAsia="Batang" w:hAnsi="Trebuchet MS" w:cs="Calibri"/>
          <w:lang w:eastAsia="pl-PL"/>
        </w:rPr>
        <w:t>dmiotowym postępowaniu Wykonawcy zwrócili</w:t>
      </w:r>
      <w:r w:rsidRPr="00DA29CB">
        <w:rPr>
          <w:rFonts w:ascii="Trebuchet MS" w:eastAsia="Batang" w:hAnsi="Trebuchet MS" w:cs="Calibri"/>
          <w:lang w:eastAsia="pl-PL"/>
        </w:rPr>
        <w:t xml:space="preserve"> się do Zamawiającego z prośbą o wyjaśnienie treści </w:t>
      </w:r>
      <w:r w:rsidR="00E646CE" w:rsidRPr="00DA29CB">
        <w:rPr>
          <w:rFonts w:ascii="Trebuchet MS" w:eastAsia="Batang" w:hAnsi="Trebuchet MS" w:cs="Calibri"/>
          <w:lang w:eastAsia="pl-PL"/>
        </w:rPr>
        <w:t>ogłoszenia o zamówienie</w:t>
      </w:r>
      <w:r w:rsidRPr="00DA29CB">
        <w:rPr>
          <w:rFonts w:ascii="Trebuchet MS" w:eastAsia="Batang" w:hAnsi="Trebuchet MS" w:cs="Calibri"/>
          <w:lang w:eastAsia="pl-PL"/>
        </w:rPr>
        <w:t>. W związku z powyższym Zamawiający udzielił poniższych wyjaśnień:</w:t>
      </w:r>
    </w:p>
    <w:p w:rsidR="0039329C" w:rsidRPr="00DA29CB" w:rsidRDefault="00785443" w:rsidP="00F423A7">
      <w:pPr>
        <w:pStyle w:val="NormalnyWeb"/>
        <w:numPr>
          <w:ilvl w:val="0"/>
          <w:numId w:val="13"/>
        </w:numPr>
        <w:ind w:left="0" w:firstLine="0"/>
        <w:contextualSpacing/>
        <w:jc w:val="both"/>
        <w:rPr>
          <w:rFonts w:ascii="Trebuchet MS" w:hAnsi="Trebuchet MS"/>
          <w:i/>
          <w:iCs/>
          <w:sz w:val="22"/>
          <w:szCs w:val="22"/>
        </w:rPr>
      </w:pPr>
      <w:r w:rsidRPr="00DA29CB">
        <w:rPr>
          <w:rFonts w:ascii="Trebuchet MS" w:hAnsi="Trebuchet MS"/>
          <w:sz w:val="22"/>
          <w:szCs w:val="22"/>
        </w:rPr>
        <w:t>Czy zapisy SIWZ ograniczają Wykonawcę w zakresie ceny jednej godziny us</w:t>
      </w:r>
      <w:r w:rsidR="00F423A7">
        <w:rPr>
          <w:rFonts w:ascii="Trebuchet MS" w:hAnsi="Trebuchet MS"/>
          <w:sz w:val="22"/>
          <w:szCs w:val="22"/>
        </w:rPr>
        <w:t>ług prawnych, tj. czy Wykonawca</w:t>
      </w:r>
      <w:r w:rsidRPr="00DA29CB">
        <w:rPr>
          <w:rFonts w:ascii="Trebuchet MS" w:hAnsi="Trebuchet MS"/>
          <w:sz w:val="22"/>
          <w:szCs w:val="22"/>
        </w:rPr>
        <w:t xml:space="preserve"> prawidłowo rozumie zapisy SIWZ, zgodnie z którymi zestawienie maksymalnej pracochłonności (300 godzin) oraz budżetu (50 000 zł brutto) prowadzi do wyznaczenia górnej granicy ceny roboczo-godziny?</w:t>
      </w:r>
    </w:p>
    <w:p w:rsidR="00785443" w:rsidRPr="00DA29CB" w:rsidRDefault="007E327B" w:rsidP="00F423A7">
      <w:pPr>
        <w:pStyle w:val="Akapitzlist"/>
        <w:spacing w:line="240" w:lineRule="auto"/>
        <w:ind w:left="0"/>
        <w:jc w:val="both"/>
        <w:rPr>
          <w:rFonts w:ascii="Trebuchet MS" w:hAnsi="Trebuchet MS" w:cs="Arial"/>
        </w:rPr>
      </w:pPr>
      <w:r w:rsidRPr="00DA29CB">
        <w:rPr>
          <w:rFonts w:ascii="Trebuchet MS" w:hAnsi="Trebuchet MS"/>
          <w:b/>
        </w:rPr>
        <w:t>Odpowiedź:</w:t>
      </w:r>
      <w:r w:rsidRPr="00DA29CB">
        <w:rPr>
          <w:rFonts w:ascii="Trebuchet MS" w:hAnsi="Trebuchet MS"/>
        </w:rPr>
        <w:t xml:space="preserve"> </w:t>
      </w:r>
      <w:r w:rsidR="00785443" w:rsidRPr="00DA29CB">
        <w:rPr>
          <w:rFonts w:ascii="Trebuchet MS" w:hAnsi="Trebuchet MS" w:cs="Arial"/>
        </w:rPr>
        <w:t xml:space="preserve">Zestawienie maksymalnej pracochłonności oraz budżetu nie wyznacza górnej granicy ceny roboczo-godziny. Intencją Zamawiającego było jedynie wskazanie </w:t>
      </w:r>
      <w:r w:rsidR="00785443" w:rsidRPr="00DA29CB">
        <w:rPr>
          <w:rFonts w:ascii="Trebuchet MS" w:hAnsi="Trebuchet MS" w:cs="Arial"/>
          <w:u w:val="single"/>
        </w:rPr>
        <w:t>szacowanej</w:t>
      </w:r>
      <w:r w:rsidR="00785443" w:rsidRPr="00DA29CB">
        <w:rPr>
          <w:rFonts w:ascii="Trebuchet MS" w:hAnsi="Trebuchet MS" w:cs="Arial"/>
        </w:rPr>
        <w:t xml:space="preserve"> (przewidywanej na tym etapie) maksymalnej pracochłonności </w:t>
      </w:r>
      <w:r w:rsidR="003E4C13">
        <w:rPr>
          <w:rFonts w:ascii="Trebuchet MS" w:hAnsi="Trebuchet MS" w:cs="Arial"/>
        </w:rPr>
        <w:t xml:space="preserve">usług, </w:t>
      </w:r>
      <w:r w:rsidR="00785443" w:rsidRPr="00DA29CB">
        <w:rPr>
          <w:rFonts w:ascii="Trebuchet MS" w:hAnsi="Trebuchet MS" w:cs="Arial"/>
        </w:rPr>
        <w:t>która na etapie realizac</w:t>
      </w:r>
      <w:r w:rsidR="003E4C13">
        <w:rPr>
          <w:rFonts w:ascii="Trebuchet MS" w:hAnsi="Trebuchet MS" w:cs="Arial"/>
        </w:rPr>
        <w:t>ji zamówienia może ulec zmianie</w:t>
      </w:r>
      <w:r w:rsidR="00785443" w:rsidRPr="00DA29CB">
        <w:rPr>
          <w:rFonts w:ascii="Trebuchet MS" w:hAnsi="Trebuchet MS" w:cs="Arial"/>
        </w:rPr>
        <w:t xml:space="preserve">. </w:t>
      </w:r>
    </w:p>
    <w:p w:rsidR="00785443" w:rsidRPr="00DA29CB" w:rsidRDefault="00785443" w:rsidP="00F423A7">
      <w:pPr>
        <w:pStyle w:val="Akapitzlist"/>
        <w:spacing w:line="240" w:lineRule="auto"/>
        <w:ind w:left="0"/>
        <w:jc w:val="both"/>
        <w:rPr>
          <w:rFonts w:ascii="Trebuchet MS" w:hAnsi="Trebuchet MS" w:cs="Arial"/>
        </w:rPr>
      </w:pPr>
    </w:p>
    <w:p w:rsidR="00280A61" w:rsidRPr="00DA29CB" w:rsidRDefault="005664DE" w:rsidP="00F423A7">
      <w:pPr>
        <w:pStyle w:val="Akapitzlist"/>
        <w:spacing w:line="240" w:lineRule="auto"/>
        <w:ind w:left="0"/>
        <w:jc w:val="both"/>
        <w:rPr>
          <w:rFonts w:ascii="Trebuchet MS" w:hAnsi="Trebuchet MS" w:cs="Arial"/>
        </w:rPr>
      </w:pPr>
      <w:r w:rsidRPr="00DA29CB">
        <w:rPr>
          <w:rFonts w:ascii="Trebuchet MS" w:hAnsi="Trebuchet MS" w:cs="Arial"/>
        </w:rPr>
        <w:t xml:space="preserve">Podanie zaś maksymalnego wynagrodzenia z tytułu realizacji umowy (określonego w §10 ust. 1 Istotnych Postanowień Umowy) wynika ze specyfiki zamówienia. Zamawiający na etapie przeprowadzania postępowania </w:t>
      </w:r>
      <w:r w:rsidR="002B6A83" w:rsidRPr="00DA29CB">
        <w:rPr>
          <w:rFonts w:ascii="Trebuchet MS" w:hAnsi="Trebuchet MS" w:cs="Arial"/>
        </w:rPr>
        <w:t>nie mógł wskazać jednoznacznie</w:t>
      </w:r>
      <w:r w:rsidRPr="00DA29CB">
        <w:rPr>
          <w:rFonts w:ascii="Trebuchet MS" w:hAnsi="Trebuchet MS" w:cs="Arial"/>
        </w:rPr>
        <w:t xml:space="preserve"> sztywnej</w:t>
      </w:r>
      <w:r w:rsidR="003E4C13">
        <w:rPr>
          <w:rFonts w:ascii="Trebuchet MS" w:hAnsi="Trebuchet MS" w:cs="Arial"/>
        </w:rPr>
        <w:t>,</w:t>
      </w:r>
      <w:r w:rsidRPr="00DA29CB">
        <w:rPr>
          <w:rFonts w:ascii="Trebuchet MS" w:hAnsi="Trebuchet MS" w:cs="Arial"/>
        </w:rPr>
        <w:t xml:space="preserve"> maksymalnej pracochłonności świadczonych usług (</w:t>
      </w:r>
      <w:r w:rsidR="002B6A83" w:rsidRPr="00DA29CB">
        <w:rPr>
          <w:rFonts w:ascii="Trebuchet MS" w:hAnsi="Trebuchet MS" w:cs="Arial"/>
        </w:rPr>
        <w:t>ich rozliczenie będzie się odbywało bowiem na podstawie faktycznie zr</w:t>
      </w:r>
      <w:r w:rsidR="00F423A7">
        <w:rPr>
          <w:rFonts w:ascii="Trebuchet MS" w:hAnsi="Trebuchet MS" w:cs="Arial"/>
        </w:rPr>
        <w:t xml:space="preserve">ealizowanych usług - w oparciu </w:t>
      </w:r>
      <w:r w:rsidR="002B6A83" w:rsidRPr="00DA29CB">
        <w:rPr>
          <w:rFonts w:ascii="Trebuchet MS" w:hAnsi="Trebuchet MS" w:cs="Arial"/>
        </w:rPr>
        <w:t>o zestawienia miesięczne wykonanych prac). Wobec powyższego</w:t>
      </w:r>
      <w:r w:rsidR="003E4C13">
        <w:rPr>
          <w:rFonts w:ascii="Trebuchet MS" w:hAnsi="Trebuchet MS" w:cs="Arial"/>
        </w:rPr>
        <w:t>,</w:t>
      </w:r>
      <w:r w:rsidR="002B6A83" w:rsidRPr="00DA29CB">
        <w:rPr>
          <w:rFonts w:ascii="Trebuchet MS" w:hAnsi="Trebuchet MS" w:cs="Arial"/>
        </w:rPr>
        <w:t xml:space="preserve"> koniecznym było wskazanie wysokości środków, jaką Zamawiający przeznaczył na realizację zamówienia (ona stanowi maksymalną granicę wynagrodzenia łącznego w ramach realizacji umowy).</w:t>
      </w:r>
    </w:p>
    <w:p w:rsidR="002B6A83" w:rsidRPr="00DA29CB" w:rsidRDefault="002B6A83" w:rsidP="00F423A7">
      <w:pPr>
        <w:pStyle w:val="Akapitzlist"/>
        <w:spacing w:line="240" w:lineRule="auto"/>
        <w:ind w:left="0"/>
        <w:jc w:val="both"/>
        <w:rPr>
          <w:rFonts w:ascii="Trebuchet MS" w:hAnsi="Trebuchet MS" w:cs="Arial"/>
        </w:rPr>
      </w:pPr>
    </w:p>
    <w:p w:rsidR="002B6A83" w:rsidRPr="00DA29CB" w:rsidRDefault="002B6A83" w:rsidP="00F423A7">
      <w:pPr>
        <w:pStyle w:val="Akapitzlist"/>
        <w:spacing w:line="240" w:lineRule="auto"/>
        <w:ind w:left="0"/>
        <w:jc w:val="both"/>
        <w:rPr>
          <w:rFonts w:ascii="Trebuchet MS" w:hAnsi="Trebuchet MS"/>
        </w:rPr>
      </w:pPr>
      <w:r w:rsidRPr="00DA29CB">
        <w:rPr>
          <w:rFonts w:ascii="Trebuchet MS" w:hAnsi="Trebuchet MS" w:cs="Arial"/>
        </w:rPr>
        <w:t>Określenie ceny</w:t>
      </w:r>
      <w:r w:rsidR="00DA29CB" w:rsidRPr="00DA29CB">
        <w:rPr>
          <w:rFonts w:ascii="Trebuchet MS" w:hAnsi="Trebuchet MS" w:cs="Arial"/>
        </w:rPr>
        <w:t xml:space="preserve"> jednostkowej za roboczogodzinę </w:t>
      </w:r>
      <w:r w:rsidRPr="00DA29CB">
        <w:rPr>
          <w:rFonts w:ascii="Trebuchet MS" w:hAnsi="Trebuchet MS" w:cs="Arial"/>
        </w:rPr>
        <w:t>leży w gestii Wykonawcy i Zamawiający w żaden sposób nie może decydować o jej wysokości.</w:t>
      </w:r>
    </w:p>
    <w:p w:rsidR="00785443" w:rsidRPr="00DA29CB" w:rsidRDefault="006C002D" w:rsidP="00DA29CB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DA29CB">
        <w:rPr>
          <w:rFonts w:ascii="Trebuchet MS" w:hAnsi="Trebuchet MS"/>
        </w:rPr>
        <w:t xml:space="preserve">Jednocześnie Zamawiający </w:t>
      </w:r>
      <w:r w:rsidR="00196FB2" w:rsidRPr="00DA29CB">
        <w:rPr>
          <w:rFonts w:ascii="Trebuchet MS" w:hAnsi="Trebuchet MS"/>
        </w:rPr>
        <w:t xml:space="preserve">informuje, że </w:t>
      </w:r>
      <w:r w:rsidR="00196FB2" w:rsidRPr="00DA29CB">
        <w:rPr>
          <w:rFonts w:ascii="Trebuchet MS" w:hAnsi="Trebuchet MS"/>
          <w:b/>
          <w:u w:val="single"/>
        </w:rPr>
        <w:t>nie zmienia</w:t>
      </w:r>
      <w:r w:rsidR="00196FB2" w:rsidRPr="00DA29CB">
        <w:rPr>
          <w:rFonts w:ascii="Trebuchet MS" w:hAnsi="Trebuchet MS"/>
        </w:rPr>
        <w:t xml:space="preserve"> terminu składania </w:t>
      </w:r>
      <w:r w:rsidR="00835EFE" w:rsidRPr="00DA29CB">
        <w:rPr>
          <w:rFonts w:ascii="Trebuchet MS" w:hAnsi="Trebuchet MS"/>
        </w:rPr>
        <w:t xml:space="preserve">i otwarcia </w:t>
      </w:r>
      <w:r w:rsidR="00196FB2" w:rsidRPr="00DA29CB">
        <w:rPr>
          <w:rFonts w:ascii="Trebuchet MS" w:hAnsi="Trebuchet MS"/>
        </w:rPr>
        <w:t>ofert w przedmiotowym postępowaniu.</w:t>
      </w:r>
    </w:p>
    <w:p w:rsidR="009069E0" w:rsidRPr="00DA29CB" w:rsidRDefault="009069E0" w:rsidP="009069E0">
      <w:pPr>
        <w:spacing w:after="0" w:line="240" w:lineRule="auto"/>
        <w:ind w:firstLine="4962"/>
        <w:contextualSpacing/>
        <w:rPr>
          <w:rFonts w:ascii="Trebuchet MS" w:eastAsia="Times New Roman" w:hAnsi="Trebuchet MS" w:cs="Times New Roman"/>
          <w:lang w:eastAsia="pl-PL"/>
        </w:rPr>
      </w:pPr>
      <w:r w:rsidRPr="00DA29CB">
        <w:rPr>
          <w:rFonts w:ascii="Trebuchet MS" w:eastAsia="Times New Roman" w:hAnsi="Trebuchet MS" w:cs="Times New Roman"/>
          <w:lang w:eastAsia="pl-PL"/>
        </w:rPr>
        <w:t xml:space="preserve">Z upoważnienia 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DA29CB">
        <w:rPr>
          <w:rFonts w:ascii="Trebuchet MS" w:eastAsia="Times New Roman" w:hAnsi="Trebuchet MS" w:cs="Times New Roman"/>
          <w:lang w:eastAsia="pl-PL"/>
        </w:rPr>
        <w:t>Dyrektora Centrum Projektów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DA29CB">
        <w:rPr>
          <w:rFonts w:ascii="Trebuchet MS" w:eastAsia="Times New Roman" w:hAnsi="Trebuchet MS" w:cs="Times New Roman"/>
          <w:lang w:eastAsia="pl-PL"/>
        </w:rPr>
        <w:t>Polska Cyfrowa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color w:val="FF0000"/>
          <w:lang w:eastAsia="pl-PL"/>
        </w:rPr>
      </w:pPr>
      <w:r w:rsidRPr="00DA29CB">
        <w:rPr>
          <w:rFonts w:ascii="Trebuchet MS" w:eastAsia="Times New Roman" w:hAnsi="Trebuchet MS" w:cs="Times New Roman"/>
          <w:i/>
          <w:color w:val="FF0000"/>
          <w:lang w:eastAsia="pl-PL"/>
        </w:rPr>
        <w:t xml:space="preserve">Dokument podpisany kwalifikowanym 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i/>
          <w:lang w:eastAsia="pl-PL"/>
        </w:rPr>
      </w:pPr>
      <w:r w:rsidRPr="00DA29CB">
        <w:rPr>
          <w:rFonts w:ascii="Trebuchet MS" w:eastAsia="Times New Roman" w:hAnsi="Trebuchet MS" w:cs="Times New Roman"/>
          <w:i/>
          <w:color w:val="FF0000"/>
          <w:lang w:eastAsia="pl-PL"/>
        </w:rPr>
        <w:t>podpisem elektronicznym</w:t>
      </w:r>
      <w:r w:rsidRPr="00DA29CB">
        <w:rPr>
          <w:rFonts w:ascii="Trebuchet MS" w:eastAsia="Times New Roman" w:hAnsi="Trebuchet MS" w:cs="Times New Roman"/>
          <w:color w:val="FF0000"/>
          <w:vertAlign w:val="superscript"/>
          <w:lang w:eastAsia="pl-PL"/>
        </w:rPr>
        <w:footnoteReference w:id="1"/>
      </w:r>
      <w:r w:rsidRPr="00DA29CB">
        <w:rPr>
          <w:rFonts w:ascii="Trebuchet MS" w:eastAsia="Times New Roman" w:hAnsi="Trebuchet MS" w:cs="Times New Roman"/>
          <w:lang w:eastAsia="pl-PL"/>
        </w:rPr>
        <w:t xml:space="preserve"> 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DA29CB">
        <w:rPr>
          <w:rFonts w:ascii="Trebuchet MS" w:eastAsia="Times New Roman" w:hAnsi="Trebuchet MS" w:cs="Times New Roman"/>
          <w:lang w:eastAsia="pl-PL"/>
        </w:rPr>
        <w:t>Ewa Siczek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DA29CB">
        <w:rPr>
          <w:rFonts w:ascii="Trebuchet MS" w:eastAsia="Times New Roman" w:hAnsi="Trebuchet MS" w:cs="Times New Roman"/>
          <w:lang w:eastAsia="pl-PL"/>
        </w:rPr>
        <w:t xml:space="preserve">Dyrektor Departamentu Projektów </w:t>
      </w:r>
    </w:p>
    <w:p w:rsidR="009069E0" w:rsidRPr="00DA29CB" w:rsidRDefault="009069E0" w:rsidP="009069E0">
      <w:pPr>
        <w:spacing w:after="0" w:line="240" w:lineRule="auto"/>
        <w:ind w:firstLine="4962"/>
        <w:rPr>
          <w:rFonts w:ascii="Trebuchet MS" w:eastAsia="Times New Roman" w:hAnsi="Trebuchet MS" w:cs="Times New Roman"/>
          <w:lang w:eastAsia="pl-PL"/>
        </w:rPr>
      </w:pPr>
      <w:r w:rsidRPr="00DA29CB">
        <w:rPr>
          <w:rFonts w:ascii="Trebuchet MS" w:eastAsia="Times New Roman" w:hAnsi="Trebuchet MS" w:cs="Times New Roman"/>
          <w:lang w:eastAsia="pl-PL"/>
        </w:rPr>
        <w:t>e-Administracji</w:t>
      </w:r>
    </w:p>
    <w:sectPr w:rsidR="009069E0" w:rsidRPr="00DA29CB" w:rsidSect="00DA29CB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8C" w:rsidRDefault="0044238C" w:rsidP="00E9572A">
      <w:pPr>
        <w:spacing w:after="0" w:line="240" w:lineRule="auto"/>
      </w:pPr>
      <w:r>
        <w:separator/>
      </w:r>
    </w:p>
  </w:endnote>
  <w:endnote w:type="continuationSeparator" w:id="0">
    <w:p w:rsidR="0044238C" w:rsidRDefault="0044238C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8C" w:rsidRDefault="0044238C" w:rsidP="00E9572A">
      <w:pPr>
        <w:spacing w:after="0" w:line="240" w:lineRule="auto"/>
      </w:pPr>
      <w:r>
        <w:separator/>
      </w:r>
    </w:p>
  </w:footnote>
  <w:footnote w:type="continuationSeparator" w:id="0">
    <w:p w:rsidR="0044238C" w:rsidRDefault="0044238C" w:rsidP="00E9572A">
      <w:pPr>
        <w:spacing w:after="0" w:line="240" w:lineRule="auto"/>
      </w:pPr>
      <w:r>
        <w:continuationSeparator/>
      </w:r>
    </w:p>
  </w:footnote>
  <w:footnote w:id="1">
    <w:p w:rsidR="009069E0" w:rsidRPr="009069E0" w:rsidRDefault="009069E0" w:rsidP="009069E0">
      <w:pPr>
        <w:pStyle w:val="Zwykytekst"/>
        <w:rPr>
          <w:i/>
          <w:color w:val="C00000"/>
          <w:sz w:val="14"/>
          <w:szCs w:val="14"/>
        </w:rPr>
      </w:pPr>
      <w:r w:rsidRPr="009069E0">
        <w:rPr>
          <w:rStyle w:val="Odwoanieprzypisudolnego"/>
          <w:color w:val="C00000"/>
          <w:sz w:val="14"/>
          <w:szCs w:val="14"/>
        </w:rPr>
        <w:footnoteRef/>
      </w:r>
      <w:r w:rsidRPr="009069E0">
        <w:rPr>
          <w:rFonts w:ascii="Trebuchet MS" w:hAnsi="Trebuchet MS"/>
          <w:i/>
          <w:color w:val="C00000"/>
          <w:sz w:val="14"/>
          <w:szCs w:val="14"/>
        </w:rPr>
        <w:t xml:space="preserve"> 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9069E0">
        <w:rPr>
          <w:rFonts w:ascii="Trebuchet MS" w:hAnsi="Trebuchet MS"/>
          <w:i/>
          <w:color w:val="C00000"/>
          <w:sz w:val="14"/>
          <w:szCs w:val="14"/>
        </w:rPr>
        <w:t>ePUAP</w:t>
      </w:r>
      <w:proofErr w:type="spellEnd"/>
      <w:r w:rsidRPr="009069E0">
        <w:rPr>
          <w:rFonts w:ascii="Trebuchet MS" w:hAnsi="Trebuchet MS"/>
          <w:i/>
          <w:color w:val="C00000"/>
          <w:sz w:val="14"/>
          <w:szCs w:val="14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9069E0">
        <w:rPr>
          <w:rFonts w:ascii="Trebuchet MS" w:hAnsi="Trebuchet MS"/>
          <w:i/>
          <w:color w:val="C00000"/>
          <w:sz w:val="14"/>
          <w:szCs w:val="14"/>
        </w:rPr>
        <w:t>późn</w:t>
      </w:r>
      <w:proofErr w:type="spellEnd"/>
      <w:r w:rsidRPr="009069E0">
        <w:rPr>
          <w:rFonts w:ascii="Trebuchet MS" w:hAnsi="Trebuchet MS"/>
          <w:i/>
          <w:color w:val="C00000"/>
          <w:sz w:val="14"/>
          <w:szCs w:val="14"/>
        </w:rPr>
        <w:t xml:space="preserve">. </w:t>
      </w:r>
      <w:proofErr w:type="spellStart"/>
      <w:r w:rsidRPr="009069E0">
        <w:rPr>
          <w:rFonts w:ascii="Trebuchet MS" w:hAnsi="Trebuchet MS"/>
          <w:i/>
          <w:color w:val="C00000"/>
          <w:sz w:val="14"/>
          <w:szCs w:val="14"/>
        </w:rPr>
        <w:t>zm</w:t>
      </w:r>
      <w:proofErr w:type="spellEnd"/>
      <w:r w:rsidRPr="009069E0">
        <w:rPr>
          <w:rFonts w:ascii="Trebuchet MS" w:hAnsi="Trebuchet MS"/>
          <w:i/>
          <w:color w:val="C00000"/>
          <w:sz w:val="14"/>
          <w:szCs w:val="14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B0446C">
    <w:pPr>
      <w:pStyle w:val="Nagwek"/>
    </w:pPr>
    <w:r w:rsidRPr="00663845">
      <w:rPr>
        <w:noProof/>
        <w:lang w:eastAsia="pl-PL"/>
      </w:rPr>
      <w:drawing>
        <wp:inline distT="0" distB="0" distL="0" distR="0" wp14:anchorId="2C0CBA22" wp14:editId="7F4D66BD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212"/>
    <w:multiLevelType w:val="hybridMultilevel"/>
    <w:tmpl w:val="1770AC14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3EE3"/>
    <w:multiLevelType w:val="hybridMultilevel"/>
    <w:tmpl w:val="CA7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05B3"/>
    <w:multiLevelType w:val="hybridMultilevel"/>
    <w:tmpl w:val="19E480CC"/>
    <w:lvl w:ilvl="0" w:tplc="862607D4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60E46"/>
    <w:rsid w:val="00171864"/>
    <w:rsid w:val="00196FB2"/>
    <w:rsid w:val="00205F7D"/>
    <w:rsid w:val="00221D32"/>
    <w:rsid w:val="00280A61"/>
    <w:rsid w:val="002A107F"/>
    <w:rsid w:val="002B6A83"/>
    <w:rsid w:val="002C3B97"/>
    <w:rsid w:val="002C7E40"/>
    <w:rsid w:val="00304D84"/>
    <w:rsid w:val="0034263C"/>
    <w:rsid w:val="0039329C"/>
    <w:rsid w:val="003D5EB1"/>
    <w:rsid w:val="003E4C13"/>
    <w:rsid w:val="003E5D2B"/>
    <w:rsid w:val="0044238C"/>
    <w:rsid w:val="00444003"/>
    <w:rsid w:val="004E2AEB"/>
    <w:rsid w:val="0053093A"/>
    <w:rsid w:val="005664DE"/>
    <w:rsid w:val="00591C47"/>
    <w:rsid w:val="00650E56"/>
    <w:rsid w:val="006C002D"/>
    <w:rsid w:val="00785443"/>
    <w:rsid w:val="007B7ACC"/>
    <w:rsid w:val="007E327B"/>
    <w:rsid w:val="00835EFE"/>
    <w:rsid w:val="00843890"/>
    <w:rsid w:val="009069E0"/>
    <w:rsid w:val="009B1536"/>
    <w:rsid w:val="00A24C80"/>
    <w:rsid w:val="00A3231D"/>
    <w:rsid w:val="00A33C39"/>
    <w:rsid w:val="00B0446C"/>
    <w:rsid w:val="00C156FC"/>
    <w:rsid w:val="00CB6961"/>
    <w:rsid w:val="00CD1733"/>
    <w:rsid w:val="00DA29CB"/>
    <w:rsid w:val="00DB2FA4"/>
    <w:rsid w:val="00DE79AB"/>
    <w:rsid w:val="00E646CE"/>
    <w:rsid w:val="00E9572A"/>
    <w:rsid w:val="00EB6B20"/>
    <w:rsid w:val="00F423A7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173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69E0"/>
    <w:pPr>
      <w:spacing w:after="0" w:line="240" w:lineRule="auto"/>
      <w:ind w:left="714" w:hanging="357"/>
      <w:jc w:val="both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69E0"/>
    <w:rPr>
      <w:rFonts w:ascii="Consolas" w:hAnsi="Consolas"/>
      <w:sz w:val="21"/>
      <w:szCs w:val="21"/>
    </w:rPr>
  </w:style>
  <w:style w:type="character" w:styleId="Odwoanieprzypisudolnego">
    <w:name w:val="footnote reference"/>
    <w:basedOn w:val="Domylnaczcionkaakapitu"/>
    <w:rsid w:val="0090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2</cp:revision>
  <dcterms:created xsi:type="dcterms:W3CDTF">2017-03-15T12:28:00Z</dcterms:created>
  <dcterms:modified xsi:type="dcterms:W3CDTF">2017-03-15T12:28:00Z</dcterms:modified>
</cp:coreProperties>
</file>