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E352AA" w:rsidP="00E352AA"/>
    <w:p w:rsidR="00E352AA" w:rsidRPr="007E469E" w:rsidRDefault="00E352AA" w:rsidP="00E352AA">
      <w:pPr>
        <w:pStyle w:val="Tytuowa1"/>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91631C" w:rsidP="00E352AA">
      <w:pPr>
        <w:pStyle w:val="Tytuowa1"/>
        <w:rPr>
          <w:sz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bookmarkStart w:id="10" w:name="_Toc428275476"/>
      <w:bookmarkStart w:id="11" w:name="_Toc428290945"/>
      <w:bookmarkStart w:id="12" w:name="_Toc428535177"/>
      <w:r>
        <w:rPr>
          <w:sz w:val="24"/>
        </w:rPr>
        <w:t xml:space="preserve">Zasady </w:t>
      </w:r>
      <w:bookmarkEnd w:id="0"/>
      <w:bookmarkEnd w:id="1"/>
      <w:r w:rsidR="0054596B" w:rsidRPr="007E469E">
        <w:rPr>
          <w:sz w:val="24"/>
        </w:rPr>
        <w:t>kwalifikowan</w:t>
      </w:r>
      <w:r>
        <w:rPr>
          <w:sz w:val="24"/>
        </w:rPr>
        <w:t>ia</w:t>
      </w:r>
      <w:r w:rsidR="0054596B" w:rsidRPr="007E469E">
        <w:rPr>
          <w:sz w:val="24"/>
        </w:rPr>
        <w:t xml:space="preserve"> </w:t>
      </w:r>
      <w:r w:rsidR="007005C1" w:rsidRPr="007E469E">
        <w:rPr>
          <w:sz w:val="24"/>
        </w:rPr>
        <w:t xml:space="preserve">wydatków w </w:t>
      </w:r>
      <w:r>
        <w:rPr>
          <w:sz w:val="24"/>
        </w:rPr>
        <w:t xml:space="preserve">ramach II osi priorytetowej </w:t>
      </w:r>
      <w:r w:rsidR="007005C1" w:rsidRPr="007E469E">
        <w:rPr>
          <w:sz w:val="24"/>
        </w:rPr>
        <w:t>Program</w:t>
      </w:r>
      <w:r>
        <w:rPr>
          <w:sz w:val="24"/>
        </w:rPr>
        <w:t>u</w:t>
      </w:r>
      <w:r w:rsidR="007005C1" w:rsidRPr="007E469E">
        <w:rPr>
          <w:sz w:val="24"/>
        </w:rPr>
        <w:t xml:space="preserve"> Operacyjn</w:t>
      </w:r>
      <w:r>
        <w:rPr>
          <w:sz w:val="24"/>
        </w:rPr>
        <w:t>ego</w:t>
      </w:r>
      <w:r w:rsidR="007005C1" w:rsidRPr="007E469E">
        <w:rPr>
          <w:sz w:val="24"/>
        </w:rPr>
        <w:t xml:space="preserve"> Polska Cyfrowa </w:t>
      </w:r>
      <w:r w:rsidR="00444840" w:rsidRPr="007E469E">
        <w:rPr>
          <w:sz w:val="24"/>
        </w:rPr>
        <w:t xml:space="preserve">na lata </w:t>
      </w:r>
      <w:r w:rsidR="007005C1" w:rsidRPr="007E469E">
        <w:rPr>
          <w:sz w:val="24"/>
        </w:rPr>
        <w:t>2014-2020</w:t>
      </w:r>
      <w:bookmarkEnd w:id="2"/>
      <w:bookmarkEnd w:id="3"/>
      <w:bookmarkEnd w:id="4"/>
      <w:bookmarkEnd w:id="5"/>
      <w:bookmarkEnd w:id="6"/>
      <w:bookmarkEnd w:id="7"/>
      <w:bookmarkEnd w:id="8"/>
      <w:bookmarkEnd w:id="9"/>
      <w:bookmarkEnd w:id="10"/>
      <w:bookmarkEnd w:id="11"/>
      <w:bookmarkEnd w:id="12"/>
      <w:permStart w:id="321076962" w:edGrp="everyone"/>
      <w:permEnd w:id="321076962"/>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Default="00E352AA"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Default="0091631C" w:rsidP="00E352AA">
      <w:pPr>
        <w:autoSpaceDE w:val="0"/>
        <w:autoSpaceDN w:val="0"/>
        <w:adjustRightInd w:val="0"/>
        <w:spacing w:after="120" w:line="240" w:lineRule="atLeast"/>
        <w:ind w:left="1"/>
        <w:jc w:val="center"/>
        <w:rPr>
          <w:b/>
          <w:bCs/>
          <w:i/>
          <w:iCs/>
          <w:color w:val="000000"/>
        </w:rPr>
      </w:pPr>
    </w:p>
    <w:p w:rsidR="0091631C" w:rsidRPr="007E469E" w:rsidRDefault="0091631C"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91631C">
        <w:rPr>
          <w:b/>
          <w:bCs/>
          <w:i/>
          <w:iCs/>
          <w:color w:val="000000"/>
        </w:rPr>
        <w:t>28.08.2015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981286" w:rsidRDefault="00012E85">
          <w:pPr>
            <w:pStyle w:val="Spistreci1"/>
            <w:rPr>
              <w:rFonts w:asciiTheme="minorHAnsi" w:hAnsiTheme="minorHAnsi" w:cstheme="minorBidi"/>
              <w:b w:val="0"/>
            </w:rPr>
          </w:pPr>
          <w:r w:rsidRPr="007E469E">
            <w:fldChar w:fldCharType="begin"/>
          </w:r>
          <w:r w:rsidR="00755982" w:rsidRPr="007E469E">
            <w:instrText xml:space="preserve"> TOC \o "1-3" \h \z \u </w:instrText>
          </w:r>
          <w:r w:rsidRPr="007E469E">
            <w:fldChar w:fldCharType="separate"/>
          </w:r>
          <w:hyperlink w:anchor="_Toc428535178" w:history="1">
            <w:r w:rsidR="00981286" w:rsidRPr="00EF1289">
              <w:rPr>
                <w:rStyle w:val="Hipercze"/>
              </w:rPr>
              <w:t>Wykaz skrótów</w:t>
            </w:r>
            <w:r w:rsidR="00981286">
              <w:rPr>
                <w:webHidden/>
              </w:rPr>
              <w:tab/>
            </w:r>
            <w:r w:rsidR="00981286">
              <w:rPr>
                <w:webHidden/>
              </w:rPr>
              <w:fldChar w:fldCharType="begin"/>
            </w:r>
            <w:r w:rsidR="00981286">
              <w:rPr>
                <w:webHidden/>
              </w:rPr>
              <w:instrText xml:space="preserve"> PAGEREF _Toc428535178 \h </w:instrText>
            </w:r>
            <w:r w:rsidR="00981286">
              <w:rPr>
                <w:webHidden/>
              </w:rPr>
            </w:r>
            <w:r w:rsidR="00981286">
              <w:rPr>
                <w:webHidden/>
              </w:rPr>
              <w:fldChar w:fldCharType="separate"/>
            </w:r>
            <w:r w:rsidR="00981286">
              <w:rPr>
                <w:webHidden/>
              </w:rPr>
              <w:t>4</w:t>
            </w:r>
            <w:r w:rsidR="00981286">
              <w:rPr>
                <w:webHidden/>
              </w:rPr>
              <w:fldChar w:fldCharType="end"/>
            </w:r>
          </w:hyperlink>
        </w:p>
        <w:p w:rsidR="00981286" w:rsidRDefault="00981286">
          <w:pPr>
            <w:pStyle w:val="Spistreci1"/>
            <w:rPr>
              <w:rFonts w:asciiTheme="minorHAnsi" w:hAnsiTheme="minorHAnsi" w:cstheme="minorBidi"/>
              <w:b w:val="0"/>
            </w:rPr>
          </w:pPr>
          <w:hyperlink w:anchor="_Toc428535179" w:history="1">
            <w:r w:rsidRPr="00EF1289">
              <w:rPr>
                <w:rStyle w:val="Hipercze"/>
              </w:rPr>
              <w:t>1.</w:t>
            </w:r>
            <w:r>
              <w:rPr>
                <w:rFonts w:asciiTheme="minorHAnsi" w:hAnsiTheme="minorHAnsi" w:cstheme="minorBidi"/>
                <w:b w:val="0"/>
              </w:rPr>
              <w:tab/>
            </w:r>
            <w:r w:rsidRPr="00EF1289">
              <w:rPr>
                <w:rStyle w:val="Hipercze"/>
              </w:rPr>
              <w:t>Rozdział – charakter i cel dokumentu</w:t>
            </w:r>
            <w:r>
              <w:rPr>
                <w:webHidden/>
              </w:rPr>
              <w:tab/>
            </w:r>
            <w:r>
              <w:rPr>
                <w:webHidden/>
              </w:rPr>
              <w:fldChar w:fldCharType="begin"/>
            </w:r>
            <w:r>
              <w:rPr>
                <w:webHidden/>
              </w:rPr>
              <w:instrText xml:space="preserve"> PAGEREF _Toc428535179 \h </w:instrText>
            </w:r>
            <w:r>
              <w:rPr>
                <w:webHidden/>
              </w:rPr>
            </w:r>
            <w:r>
              <w:rPr>
                <w:webHidden/>
              </w:rPr>
              <w:fldChar w:fldCharType="separate"/>
            </w:r>
            <w:r>
              <w:rPr>
                <w:webHidden/>
              </w:rPr>
              <w:t>6</w:t>
            </w:r>
            <w:r>
              <w:rPr>
                <w:webHidden/>
              </w:rPr>
              <w:fldChar w:fldCharType="end"/>
            </w:r>
          </w:hyperlink>
        </w:p>
        <w:p w:rsidR="00981286" w:rsidRDefault="00981286">
          <w:pPr>
            <w:pStyle w:val="Spistreci1"/>
            <w:rPr>
              <w:rFonts w:asciiTheme="minorHAnsi" w:hAnsiTheme="minorHAnsi" w:cstheme="minorBidi"/>
              <w:b w:val="0"/>
            </w:rPr>
          </w:pPr>
          <w:hyperlink w:anchor="_Toc428535180" w:history="1">
            <w:r w:rsidRPr="00EF1289">
              <w:rPr>
                <w:rStyle w:val="Hipercze"/>
              </w:rPr>
              <w:t>2.</w:t>
            </w:r>
            <w:r>
              <w:rPr>
                <w:rFonts w:asciiTheme="minorHAnsi" w:hAnsiTheme="minorHAnsi" w:cstheme="minorBidi"/>
                <w:b w:val="0"/>
              </w:rPr>
              <w:tab/>
            </w:r>
            <w:r w:rsidRPr="00EF1289">
              <w:rPr>
                <w:rStyle w:val="Hipercze"/>
              </w:rPr>
              <w:t>Rozdział - Słowniczek pojęć</w:t>
            </w:r>
            <w:r>
              <w:rPr>
                <w:webHidden/>
              </w:rPr>
              <w:tab/>
            </w:r>
            <w:r>
              <w:rPr>
                <w:webHidden/>
              </w:rPr>
              <w:fldChar w:fldCharType="begin"/>
            </w:r>
            <w:r>
              <w:rPr>
                <w:webHidden/>
              </w:rPr>
              <w:instrText xml:space="preserve"> PAGEREF _Toc428535180 \h </w:instrText>
            </w:r>
            <w:r>
              <w:rPr>
                <w:webHidden/>
              </w:rPr>
            </w:r>
            <w:r>
              <w:rPr>
                <w:webHidden/>
              </w:rPr>
              <w:fldChar w:fldCharType="separate"/>
            </w:r>
            <w:r>
              <w:rPr>
                <w:webHidden/>
              </w:rPr>
              <w:t>6</w:t>
            </w:r>
            <w:r>
              <w:rPr>
                <w:webHidden/>
              </w:rPr>
              <w:fldChar w:fldCharType="end"/>
            </w:r>
          </w:hyperlink>
        </w:p>
        <w:p w:rsidR="00981286" w:rsidRDefault="00981286">
          <w:pPr>
            <w:pStyle w:val="Spistreci1"/>
            <w:rPr>
              <w:rFonts w:asciiTheme="minorHAnsi" w:hAnsiTheme="minorHAnsi" w:cstheme="minorBidi"/>
              <w:b w:val="0"/>
            </w:rPr>
          </w:pPr>
          <w:hyperlink w:anchor="_Toc428535181" w:history="1">
            <w:r w:rsidRPr="00EF1289">
              <w:rPr>
                <w:rStyle w:val="Hipercze"/>
              </w:rPr>
              <w:t>3.</w:t>
            </w:r>
            <w:r>
              <w:rPr>
                <w:rFonts w:asciiTheme="minorHAnsi" w:hAnsiTheme="minorHAnsi" w:cstheme="minorBidi"/>
                <w:b w:val="0"/>
              </w:rPr>
              <w:tab/>
            </w:r>
            <w:r w:rsidRPr="00EF1289">
              <w:rPr>
                <w:rStyle w:val="Hipercze"/>
              </w:rPr>
              <w:t xml:space="preserve">Rozdział - Cel, zakres regulacji oraz obowiązywanie </w:t>
            </w:r>
            <w:r w:rsidRPr="00EF1289">
              <w:rPr>
                <w:rStyle w:val="Hipercze"/>
                <w:i/>
              </w:rPr>
              <w:t>Wytycznych programowych</w:t>
            </w:r>
            <w:r>
              <w:rPr>
                <w:webHidden/>
              </w:rPr>
              <w:tab/>
            </w:r>
            <w:r>
              <w:rPr>
                <w:webHidden/>
              </w:rPr>
              <w:fldChar w:fldCharType="begin"/>
            </w:r>
            <w:r>
              <w:rPr>
                <w:webHidden/>
              </w:rPr>
              <w:instrText xml:space="preserve"> PAGEREF _Toc428535181 \h </w:instrText>
            </w:r>
            <w:r>
              <w:rPr>
                <w:webHidden/>
              </w:rPr>
            </w:r>
            <w:r>
              <w:rPr>
                <w:webHidden/>
              </w:rPr>
              <w:fldChar w:fldCharType="separate"/>
            </w:r>
            <w:r>
              <w:rPr>
                <w:webHidden/>
              </w:rPr>
              <w:t>16</w:t>
            </w:r>
            <w:r>
              <w:rPr>
                <w:webHidden/>
              </w:rPr>
              <w:fldChar w:fldCharType="end"/>
            </w:r>
          </w:hyperlink>
        </w:p>
        <w:p w:rsidR="00981286" w:rsidRDefault="00981286">
          <w:pPr>
            <w:pStyle w:val="Spistreci1"/>
            <w:rPr>
              <w:rFonts w:asciiTheme="minorHAnsi" w:hAnsiTheme="minorHAnsi" w:cstheme="minorBidi"/>
              <w:b w:val="0"/>
            </w:rPr>
          </w:pPr>
          <w:hyperlink w:anchor="_Toc428535182" w:history="1">
            <w:r w:rsidRPr="00EF1289">
              <w:rPr>
                <w:rStyle w:val="Hipercze"/>
              </w:rPr>
              <w:t>4.</w:t>
            </w:r>
            <w:r>
              <w:rPr>
                <w:rFonts w:asciiTheme="minorHAnsi" w:hAnsiTheme="minorHAnsi" w:cstheme="minorBidi"/>
                <w:b w:val="0"/>
              </w:rPr>
              <w:tab/>
            </w:r>
            <w:r w:rsidRPr="00EF1289">
              <w:rPr>
                <w:rStyle w:val="Hipercze"/>
              </w:rPr>
              <w:t>Rozdział - Wspólne warunki i procedury w zakresie kwalifikowalności wydatków</w:t>
            </w:r>
            <w:r>
              <w:rPr>
                <w:webHidden/>
              </w:rPr>
              <w:tab/>
            </w:r>
            <w:r>
              <w:rPr>
                <w:webHidden/>
              </w:rPr>
              <w:fldChar w:fldCharType="begin"/>
            </w:r>
            <w:r>
              <w:rPr>
                <w:webHidden/>
              </w:rPr>
              <w:instrText xml:space="preserve"> PAGEREF _Toc428535182 \h </w:instrText>
            </w:r>
            <w:r>
              <w:rPr>
                <w:webHidden/>
              </w:rPr>
            </w:r>
            <w:r>
              <w:rPr>
                <w:webHidden/>
              </w:rPr>
              <w:fldChar w:fldCharType="separate"/>
            </w:r>
            <w:r>
              <w:rPr>
                <w:webHidden/>
              </w:rPr>
              <w:t>18</w:t>
            </w:r>
            <w:r>
              <w:rPr>
                <w:webHidden/>
              </w:rPr>
              <w:fldChar w:fldCharType="end"/>
            </w:r>
          </w:hyperlink>
        </w:p>
        <w:p w:rsidR="00981286" w:rsidRDefault="00981286">
          <w:pPr>
            <w:pStyle w:val="Spistreci2"/>
            <w:tabs>
              <w:tab w:val="left" w:pos="880"/>
              <w:tab w:val="right" w:leader="dot" w:pos="9062"/>
            </w:tabs>
            <w:rPr>
              <w:noProof/>
            </w:rPr>
          </w:pPr>
          <w:hyperlink w:anchor="_Toc428535183" w:history="1">
            <w:r w:rsidRPr="00EF1289">
              <w:rPr>
                <w:rStyle w:val="Hipercze"/>
                <w:rFonts w:ascii="Arial" w:hAnsi="Arial" w:cs="Arial"/>
                <w:i/>
                <w:noProof/>
              </w:rPr>
              <w:t>4.1</w:t>
            </w:r>
            <w:r>
              <w:rPr>
                <w:noProof/>
              </w:rPr>
              <w:tab/>
            </w:r>
            <w:r w:rsidRPr="00EF1289">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_Toc428535183 \h </w:instrText>
            </w:r>
            <w:r>
              <w:rPr>
                <w:noProof/>
                <w:webHidden/>
              </w:rPr>
            </w:r>
            <w:r>
              <w:rPr>
                <w:noProof/>
                <w:webHidden/>
              </w:rPr>
              <w:fldChar w:fldCharType="separate"/>
            </w:r>
            <w:r>
              <w:rPr>
                <w:noProof/>
                <w:webHidden/>
              </w:rPr>
              <w:t>18</w:t>
            </w:r>
            <w:r>
              <w:rPr>
                <w:noProof/>
                <w:webHidden/>
              </w:rPr>
              <w:fldChar w:fldCharType="end"/>
            </w:r>
          </w:hyperlink>
        </w:p>
        <w:p w:rsidR="00981286" w:rsidRDefault="00981286">
          <w:pPr>
            <w:pStyle w:val="Spistreci2"/>
            <w:tabs>
              <w:tab w:val="left" w:pos="880"/>
              <w:tab w:val="right" w:leader="dot" w:pos="9062"/>
            </w:tabs>
            <w:rPr>
              <w:noProof/>
            </w:rPr>
          </w:pPr>
          <w:hyperlink w:anchor="_Toc428535184" w:history="1">
            <w:r w:rsidRPr="00EF1289">
              <w:rPr>
                <w:rStyle w:val="Hipercze"/>
                <w:rFonts w:ascii="Arial" w:hAnsi="Arial" w:cs="Arial"/>
                <w:i/>
                <w:noProof/>
              </w:rPr>
              <w:t>4.2</w:t>
            </w:r>
            <w:r>
              <w:rPr>
                <w:noProof/>
              </w:rPr>
              <w:tab/>
            </w:r>
            <w:r w:rsidRPr="00EF1289">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_Toc428535184 \h </w:instrText>
            </w:r>
            <w:r>
              <w:rPr>
                <w:noProof/>
                <w:webHidden/>
              </w:rPr>
            </w:r>
            <w:r>
              <w:rPr>
                <w:noProof/>
                <w:webHidden/>
              </w:rPr>
              <w:fldChar w:fldCharType="separate"/>
            </w:r>
            <w:r>
              <w:rPr>
                <w:noProof/>
                <w:webHidden/>
              </w:rPr>
              <w:t>18</w:t>
            </w:r>
            <w:r>
              <w:rPr>
                <w:noProof/>
                <w:webHidden/>
              </w:rPr>
              <w:fldChar w:fldCharType="end"/>
            </w:r>
          </w:hyperlink>
        </w:p>
        <w:p w:rsidR="00981286" w:rsidRDefault="00981286">
          <w:pPr>
            <w:pStyle w:val="Spistreci2"/>
            <w:tabs>
              <w:tab w:val="left" w:pos="880"/>
              <w:tab w:val="right" w:leader="dot" w:pos="9062"/>
            </w:tabs>
            <w:rPr>
              <w:noProof/>
            </w:rPr>
          </w:pPr>
          <w:hyperlink w:anchor="_Toc428535185" w:history="1">
            <w:r w:rsidRPr="00EF1289">
              <w:rPr>
                <w:rStyle w:val="Hipercze"/>
                <w:rFonts w:ascii="Arial" w:hAnsi="Arial" w:cs="Arial"/>
                <w:i/>
                <w:noProof/>
              </w:rPr>
              <w:t>4.3</w:t>
            </w:r>
            <w:r>
              <w:rPr>
                <w:noProof/>
              </w:rPr>
              <w:tab/>
            </w:r>
            <w:r w:rsidRPr="00EF1289">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_Toc428535185 \h </w:instrText>
            </w:r>
            <w:r>
              <w:rPr>
                <w:noProof/>
                <w:webHidden/>
              </w:rPr>
            </w:r>
            <w:r>
              <w:rPr>
                <w:noProof/>
                <w:webHidden/>
              </w:rPr>
              <w:fldChar w:fldCharType="separate"/>
            </w:r>
            <w:r>
              <w:rPr>
                <w:noProof/>
                <w:webHidden/>
              </w:rPr>
              <w:t>18</w:t>
            </w:r>
            <w:r>
              <w:rPr>
                <w:noProof/>
                <w:webHidden/>
              </w:rPr>
              <w:fldChar w:fldCharType="end"/>
            </w:r>
          </w:hyperlink>
        </w:p>
        <w:p w:rsidR="00981286" w:rsidRDefault="00981286">
          <w:pPr>
            <w:pStyle w:val="Spistreci2"/>
            <w:tabs>
              <w:tab w:val="left" w:pos="880"/>
              <w:tab w:val="right" w:leader="dot" w:pos="9062"/>
            </w:tabs>
            <w:rPr>
              <w:noProof/>
            </w:rPr>
          </w:pPr>
          <w:hyperlink w:anchor="_Toc428535186" w:history="1">
            <w:r w:rsidRPr="00EF1289">
              <w:rPr>
                <w:rStyle w:val="Hipercze"/>
                <w:rFonts w:ascii="Arial" w:hAnsi="Arial" w:cs="Arial"/>
                <w:i/>
                <w:noProof/>
              </w:rPr>
              <w:t>4.4</w:t>
            </w:r>
            <w:r>
              <w:rPr>
                <w:noProof/>
              </w:rPr>
              <w:tab/>
            </w:r>
            <w:r w:rsidRPr="00EF1289">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_Toc428535186 \h </w:instrText>
            </w:r>
            <w:r>
              <w:rPr>
                <w:noProof/>
                <w:webHidden/>
              </w:rPr>
            </w:r>
            <w:r>
              <w:rPr>
                <w:noProof/>
                <w:webHidden/>
              </w:rPr>
              <w:fldChar w:fldCharType="separate"/>
            </w:r>
            <w:r>
              <w:rPr>
                <w:noProof/>
                <w:webHidden/>
              </w:rPr>
              <w:t>25</w:t>
            </w:r>
            <w:r>
              <w:rPr>
                <w:noProof/>
                <w:webHidden/>
              </w:rPr>
              <w:fldChar w:fldCharType="end"/>
            </w:r>
          </w:hyperlink>
        </w:p>
        <w:p w:rsidR="00981286" w:rsidRDefault="00981286">
          <w:pPr>
            <w:pStyle w:val="Spistreci2"/>
            <w:tabs>
              <w:tab w:val="left" w:pos="880"/>
              <w:tab w:val="right" w:leader="dot" w:pos="9062"/>
            </w:tabs>
            <w:rPr>
              <w:noProof/>
            </w:rPr>
          </w:pPr>
          <w:hyperlink w:anchor="_Toc428535187" w:history="1">
            <w:r w:rsidRPr="00EF1289">
              <w:rPr>
                <w:rStyle w:val="Hipercze"/>
                <w:rFonts w:ascii="Arial" w:hAnsi="Arial" w:cs="Arial"/>
                <w:i/>
                <w:noProof/>
              </w:rPr>
              <w:t>4.5</w:t>
            </w:r>
            <w:r>
              <w:rPr>
                <w:noProof/>
              </w:rPr>
              <w:tab/>
            </w:r>
            <w:r w:rsidRPr="00EF1289">
              <w:rPr>
                <w:rStyle w:val="Hipercze"/>
                <w:rFonts w:ascii="Arial" w:hAnsi="Arial" w:cs="Arial"/>
                <w:i/>
                <w:noProof/>
              </w:rPr>
              <w:t>Wydatki ponoszone zgodnie z zasadą uczciwej konkurencji</w:t>
            </w:r>
            <w:r>
              <w:rPr>
                <w:noProof/>
                <w:webHidden/>
              </w:rPr>
              <w:tab/>
            </w:r>
            <w:r>
              <w:rPr>
                <w:noProof/>
                <w:webHidden/>
              </w:rPr>
              <w:fldChar w:fldCharType="begin"/>
            </w:r>
            <w:r>
              <w:rPr>
                <w:noProof/>
                <w:webHidden/>
              </w:rPr>
              <w:instrText xml:space="preserve"> PAGEREF _Toc428535187 \h </w:instrText>
            </w:r>
            <w:r>
              <w:rPr>
                <w:noProof/>
                <w:webHidden/>
              </w:rPr>
            </w:r>
            <w:r>
              <w:rPr>
                <w:noProof/>
                <w:webHidden/>
              </w:rPr>
              <w:fldChar w:fldCharType="separate"/>
            </w:r>
            <w:r>
              <w:rPr>
                <w:noProof/>
                <w:webHidden/>
              </w:rPr>
              <w:t>30</w:t>
            </w:r>
            <w:r>
              <w:rPr>
                <w:noProof/>
                <w:webHidden/>
              </w:rPr>
              <w:fldChar w:fldCharType="end"/>
            </w:r>
          </w:hyperlink>
        </w:p>
        <w:p w:rsidR="00981286" w:rsidRDefault="00981286">
          <w:pPr>
            <w:pStyle w:val="Spistreci3"/>
            <w:tabs>
              <w:tab w:val="left" w:pos="1320"/>
              <w:tab w:val="right" w:leader="dot" w:pos="9062"/>
            </w:tabs>
            <w:rPr>
              <w:noProof/>
            </w:rPr>
          </w:pPr>
          <w:hyperlink w:anchor="_Toc428535188" w:history="1">
            <w:r w:rsidRPr="00EF1289">
              <w:rPr>
                <w:rStyle w:val="Hipercze"/>
                <w:rFonts w:ascii="Arial" w:hAnsi="Arial" w:cs="Arial"/>
                <w:i/>
                <w:noProof/>
              </w:rPr>
              <w:t>4.5.1</w:t>
            </w:r>
            <w:r>
              <w:rPr>
                <w:noProof/>
              </w:rPr>
              <w:tab/>
            </w:r>
            <w:r w:rsidRPr="00EF1289">
              <w:rPr>
                <w:rStyle w:val="Hipercze"/>
                <w:rFonts w:ascii="Arial" w:hAnsi="Arial" w:cs="Arial"/>
                <w:i/>
                <w:noProof/>
              </w:rPr>
              <w:t>Zasady ogólne</w:t>
            </w:r>
            <w:r>
              <w:rPr>
                <w:noProof/>
                <w:webHidden/>
              </w:rPr>
              <w:tab/>
            </w:r>
            <w:r>
              <w:rPr>
                <w:noProof/>
                <w:webHidden/>
              </w:rPr>
              <w:fldChar w:fldCharType="begin"/>
            </w:r>
            <w:r>
              <w:rPr>
                <w:noProof/>
                <w:webHidden/>
              </w:rPr>
              <w:instrText xml:space="preserve"> PAGEREF _Toc428535188 \h </w:instrText>
            </w:r>
            <w:r>
              <w:rPr>
                <w:noProof/>
                <w:webHidden/>
              </w:rPr>
            </w:r>
            <w:r>
              <w:rPr>
                <w:noProof/>
                <w:webHidden/>
              </w:rPr>
              <w:fldChar w:fldCharType="separate"/>
            </w:r>
            <w:r>
              <w:rPr>
                <w:noProof/>
                <w:webHidden/>
              </w:rPr>
              <w:t>30</w:t>
            </w:r>
            <w:r>
              <w:rPr>
                <w:noProof/>
                <w:webHidden/>
              </w:rPr>
              <w:fldChar w:fldCharType="end"/>
            </w:r>
          </w:hyperlink>
        </w:p>
        <w:p w:rsidR="00981286" w:rsidRDefault="00981286">
          <w:pPr>
            <w:pStyle w:val="Spistreci3"/>
            <w:tabs>
              <w:tab w:val="left" w:pos="1320"/>
              <w:tab w:val="right" w:leader="dot" w:pos="9062"/>
            </w:tabs>
            <w:rPr>
              <w:noProof/>
            </w:rPr>
          </w:pPr>
          <w:hyperlink w:anchor="_Toc428535189" w:history="1">
            <w:r w:rsidRPr="00EF1289">
              <w:rPr>
                <w:rStyle w:val="Hipercze"/>
                <w:rFonts w:ascii="Arial" w:hAnsi="Arial" w:cs="Arial"/>
                <w:i/>
                <w:noProof/>
              </w:rPr>
              <w:t>4.5.2</w:t>
            </w:r>
            <w:r>
              <w:rPr>
                <w:noProof/>
              </w:rPr>
              <w:tab/>
            </w:r>
            <w:r w:rsidRPr="00EF1289">
              <w:rPr>
                <w:rStyle w:val="Hipercze"/>
                <w:rFonts w:ascii="Arial" w:hAnsi="Arial" w:cs="Arial"/>
                <w:i/>
                <w:noProof/>
              </w:rPr>
              <w:t>Szczegółowe warunki i procedury potwierdzania, że wydatek został dokonany w sposób racjonalny, efektywny, przejrzysty, z zachowaniem zasad uzyskiwania najlepszych efektów z danych nakładów</w:t>
            </w:r>
            <w:r>
              <w:rPr>
                <w:noProof/>
                <w:webHidden/>
              </w:rPr>
              <w:tab/>
            </w:r>
            <w:r>
              <w:rPr>
                <w:noProof/>
                <w:webHidden/>
              </w:rPr>
              <w:fldChar w:fldCharType="begin"/>
            </w:r>
            <w:r>
              <w:rPr>
                <w:noProof/>
                <w:webHidden/>
              </w:rPr>
              <w:instrText xml:space="preserve"> PAGEREF _Toc428535189 \h </w:instrText>
            </w:r>
            <w:r>
              <w:rPr>
                <w:noProof/>
                <w:webHidden/>
              </w:rPr>
            </w:r>
            <w:r>
              <w:rPr>
                <w:noProof/>
                <w:webHidden/>
              </w:rPr>
              <w:fldChar w:fldCharType="separate"/>
            </w:r>
            <w:r>
              <w:rPr>
                <w:noProof/>
                <w:webHidden/>
              </w:rPr>
              <w:t>31</w:t>
            </w:r>
            <w:r>
              <w:rPr>
                <w:noProof/>
                <w:webHidden/>
              </w:rPr>
              <w:fldChar w:fldCharType="end"/>
            </w:r>
          </w:hyperlink>
        </w:p>
        <w:p w:rsidR="00981286" w:rsidRDefault="00981286">
          <w:pPr>
            <w:pStyle w:val="Spistreci2"/>
            <w:tabs>
              <w:tab w:val="left" w:pos="880"/>
              <w:tab w:val="right" w:leader="dot" w:pos="9062"/>
            </w:tabs>
            <w:rPr>
              <w:noProof/>
            </w:rPr>
          </w:pPr>
          <w:hyperlink w:anchor="_Toc428535190" w:history="1">
            <w:r w:rsidRPr="00EF1289">
              <w:rPr>
                <w:rStyle w:val="Hipercze"/>
                <w:rFonts w:ascii="Arial" w:hAnsi="Arial" w:cs="Arial"/>
                <w:i/>
                <w:noProof/>
              </w:rPr>
              <w:t>4.6</w:t>
            </w:r>
            <w:r>
              <w:rPr>
                <w:noProof/>
              </w:rPr>
              <w:tab/>
            </w:r>
            <w:r w:rsidRPr="00EF1289">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_Toc428535190 \h </w:instrText>
            </w:r>
            <w:r>
              <w:rPr>
                <w:noProof/>
                <w:webHidden/>
              </w:rPr>
            </w:r>
            <w:r>
              <w:rPr>
                <w:noProof/>
                <w:webHidden/>
              </w:rPr>
              <w:fldChar w:fldCharType="separate"/>
            </w:r>
            <w:r>
              <w:rPr>
                <w:noProof/>
                <w:webHidden/>
              </w:rPr>
              <w:t>33</w:t>
            </w:r>
            <w:r>
              <w:rPr>
                <w:noProof/>
                <w:webHidden/>
              </w:rPr>
              <w:fldChar w:fldCharType="end"/>
            </w:r>
          </w:hyperlink>
        </w:p>
        <w:p w:rsidR="00981286" w:rsidRDefault="00981286">
          <w:pPr>
            <w:pStyle w:val="Spistreci2"/>
            <w:tabs>
              <w:tab w:val="left" w:pos="880"/>
              <w:tab w:val="right" w:leader="dot" w:pos="9062"/>
            </w:tabs>
            <w:rPr>
              <w:noProof/>
            </w:rPr>
          </w:pPr>
          <w:hyperlink w:anchor="_Toc428535191" w:history="1">
            <w:r w:rsidRPr="00EF1289">
              <w:rPr>
                <w:rStyle w:val="Hipercze"/>
                <w:rFonts w:ascii="Arial" w:hAnsi="Arial" w:cs="Arial"/>
                <w:i/>
                <w:noProof/>
              </w:rPr>
              <w:t>4.7</w:t>
            </w:r>
            <w:r>
              <w:rPr>
                <w:noProof/>
              </w:rPr>
              <w:tab/>
            </w:r>
            <w:r w:rsidRPr="00EF1289">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_Toc428535191 \h </w:instrText>
            </w:r>
            <w:r>
              <w:rPr>
                <w:noProof/>
                <w:webHidden/>
              </w:rPr>
            </w:r>
            <w:r>
              <w:rPr>
                <w:noProof/>
                <w:webHidden/>
              </w:rPr>
              <w:fldChar w:fldCharType="separate"/>
            </w:r>
            <w:r>
              <w:rPr>
                <w:noProof/>
                <w:webHidden/>
              </w:rPr>
              <w:t>33</w:t>
            </w:r>
            <w:r>
              <w:rPr>
                <w:noProof/>
                <w:webHidden/>
              </w:rPr>
              <w:fldChar w:fldCharType="end"/>
            </w:r>
          </w:hyperlink>
        </w:p>
        <w:p w:rsidR="00981286" w:rsidRDefault="00981286">
          <w:pPr>
            <w:pStyle w:val="Spistreci2"/>
            <w:tabs>
              <w:tab w:val="left" w:pos="880"/>
              <w:tab w:val="right" w:leader="dot" w:pos="9062"/>
            </w:tabs>
            <w:rPr>
              <w:noProof/>
            </w:rPr>
          </w:pPr>
          <w:hyperlink w:anchor="_Toc428535192" w:history="1">
            <w:r w:rsidRPr="00EF1289">
              <w:rPr>
                <w:rStyle w:val="Hipercze"/>
                <w:rFonts w:ascii="Arial" w:hAnsi="Arial" w:cs="Arial"/>
                <w:i/>
                <w:noProof/>
              </w:rPr>
              <w:t>4.8</w:t>
            </w:r>
            <w:r>
              <w:rPr>
                <w:noProof/>
              </w:rPr>
              <w:tab/>
            </w:r>
            <w:r w:rsidRPr="00EF1289">
              <w:rPr>
                <w:rStyle w:val="Hipercze"/>
                <w:rFonts w:ascii="Arial" w:hAnsi="Arial" w:cs="Arial"/>
                <w:i/>
                <w:noProof/>
              </w:rPr>
              <w:t>Leasing</w:t>
            </w:r>
            <w:r>
              <w:rPr>
                <w:noProof/>
                <w:webHidden/>
              </w:rPr>
              <w:tab/>
            </w:r>
            <w:r>
              <w:rPr>
                <w:noProof/>
                <w:webHidden/>
              </w:rPr>
              <w:fldChar w:fldCharType="begin"/>
            </w:r>
            <w:r>
              <w:rPr>
                <w:noProof/>
                <w:webHidden/>
              </w:rPr>
              <w:instrText xml:space="preserve"> PAGEREF _Toc428535192 \h </w:instrText>
            </w:r>
            <w:r>
              <w:rPr>
                <w:noProof/>
                <w:webHidden/>
              </w:rPr>
            </w:r>
            <w:r>
              <w:rPr>
                <w:noProof/>
                <w:webHidden/>
              </w:rPr>
              <w:fldChar w:fldCharType="separate"/>
            </w:r>
            <w:r>
              <w:rPr>
                <w:noProof/>
                <w:webHidden/>
              </w:rPr>
              <w:t>33</w:t>
            </w:r>
            <w:r>
              <w:rPr>
                <w:noProof/>
                <w:webHidden/>
              </w:rPr>
              <w:fldChar w:fldCharType="end"/>
            </w:r>
          </w:hyperlink>
        </w:p>
        <w:p w:rsidR="00981286" w:rsidRDefault="00981286">
          <w:pPr>
            <w:pStyle w:val="Spistreci2"/>
            <w:tabs>
              <w:tab w:val="left" w:pos="880"/>
              <w:tab w:val="right" w:leader="dot" w:pos="9062"/>
            </w:tabs>
            <w:rPr>
              <w:noProof/>
            </w:rPr>
          </w:pPr>
          <w:hyperlink w:anchor="_Toc428535193" w:history="1">
            <w:r w:rsidRPr="00EF1289">
              <w:rPr>
                <w:rStyle w:val="Hipercze"/>
                <w:rFonts w:ascii="Arial" w:hAnsi="Arial" w:cs="Arial"/>
                <w:i/>
                <w:noProof/>
              </w:rPr>
              <w:t>4.9</w:t>
            </w:r>
            <w:r>
              <w:rPr>
                <w:noProof/>
              </w:rPr>
              <w:tab/>
            </w:r>
            <w:r w:rsidRPr="00EF1289">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_Toc428535193 \h </w:instrText>
            </w:r>
            <w:r>
              <w:rPr>
                <w:noProof/>
                <w:webHidden/>
              </w:rPr>
            </w:r>
            <w:r>
              <w:rPr>
                <w:noProof/>
                <w:webHidden/>
              </w:rPr>
              <w:fldChar w:fldCharType="separate"/>
            </w:r>
            <w:r>
              <w:rPr>
                <w:noProof/>
                <w:webHidden/>
              </w:rPr>
              <w:t>34</w:t>
            </w:r>
            <w:r>
              <w:rPr>
                <w:noProof/>
                <w:webHidden/>
              </w:rPr>
              <w:fldChar w:fldCharType="end"/>
            </w:r>
          </w:hyperlink>
        </w:p>
        <w:p w:rsidR="00981286" w:rsidRDefault="00981286">
          <w:pPr>
            <w:pStyle w:val="Spistreci2"/>
            <w:tabs>
              <w:tab w:val="left" w:pos="880"/>
              <w:tab w:val="right" w:leader="dot" w:pos="9062"/>
            </w:tabs>
            <w:rPr>
              <w:noProof/>
            </w:rPr>
          </w:pPr>
          <w:hyperlink w:anchor="_Toc428535194" w:history="1">
            <w:r w:rsidRPr="00EF1289">
              <w:rPr>
                <w:rStyle w:val="Hipercze"/>
                <w:rFonts w:ascii="Arial" w:hAnsi="Arial" w:cs="Arial"/>
                <w:i/>
                <w:noProof/>
              </w:rPr>
              <w:t>4.10</w:t>
            </w:r>
            <w:r>
              <w:rPr>
                <w:noProof/>
              </w:rPr>
              <w:tab/>
            </w:r>
            <w:r w:rsidRPr="00EF1289">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_Toc428535194 \h </w:instrText>
            </w:r>
            <w:r>
              <w:rPr>
                <w:noProof/>
                <w:webHidden/>
              </w:rPr>
            </w:r>
            <w:r>
              <w:rPr>
                <w:noProof/>
                <w:webHidden/>
              </w:rPr>
              <w:fldChar w:fldCharType="separate"/>
            </w:r>
            <w:r>
              <w:rPr>
                <w:noProof/>
                <w:webHidden/>
              </w:rPr>
              <w:t>34</w:t>
            </w:r>
            <w:r>
              <w:rPr>
                <w:noProof/>
                <w:webHidden/>
              </w:rPr>
              <w:fldChar w:fldCharType="end"/>
            </w:r>
          </w:hyperlink>
        </w:p>
        <w:p w:rsidR="00981286" w:rsidRDefault="00981286">
          <w:pPr>
            <w:pStyle w:val="Spistreci2"/>
            <w:tabs>
              <w:tab w:val="left" w:pos="880"/>
              <w:tab w:val="right" w:leader="dot" w:pos="9062"/>
            </w:tabs>
            <w:rPr>
              <w:noProof/>
            </w:rPr>
          </w:pPr>
          <w:hyperlink w:anchor="_Toc428535195" w:history="1">
            <w:r w:rsidRPr="00EF1289">
              <w:rPr>
                <w:rStyle w:val="Hipercze"/>
                <w:rFonts w:ascii="Arial" w:hAnsi="Arial" w:cs="Arial"/>
                <w:i/>
                <w:noProof/>
              </w:rPr>
              <w:t>4.11</w:t>
            </w:r>
            <w:r>
              <w:rPr>
                <w:noProof/>
              </w:rPr>
              <w:tab/>
            </w:r>
            <w:r w:rsidRPr="00EF1289">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_Toc428535195 \h </w:instrText>
            </w:r>
            <w:r>
              <w:rPr>
                <w:noProof/>
                <w:webHidden/>
              </w:rPr>
            </w:r>
            <w:r>
              <w:rPr>
                <w:noProof/>
                <w:webHidden/>
              </w:rPr>
              <w:fldChar w:fldCharType="separate"/>
            </w:r>
            <w:r>
              <w:rPr>
                <w:noProof/>
                <w:webHidden/>
              </w:rPr>
              <w:t>34</w:t>
            </w:r>
            <w:r>
              <w:rPr>
                <w:noProof/>
                <w:webHidden/>
              </w:rPr>
              <w:fldChar w:fldCharType="end"/>
            </w:r>
          </w:hyperlink>
        </w:p>
        <w:p w:rsidR="00981286" w:rsidRDefault="00981286">
          <w:pPr>
            <w:pStyle w:val="Spistreci2"/>
            <w:tabs>
              <w:tab w:val="left" w:pos="880"/>
              <w:tab w:val="right" w:leader="dot" w:pos="9062"/>
            </w:tabs>
            <w:rPr>
              <w:noProof/>
            </w:rPr>
          </w:pPr>
          <w:hyperlink w:anchor="_Toc428535196" w:history="1">
            <w:r w:rsidRPr="00EF1289">
              <w:rPr>
                <w:rStyle w:val="Hipercze"/>
                <w:rFonts w:ascii="Arial" w:hAnsi="Arial" w:cs="Arial"/>
                <w:i/>
                <w:noProof/>
              </w:rPr>
              <w:t>4.12</w:t>
            </w:r>
            <w:r>
              <w:rPr>
                <w:noProof/>
              </w:rPr>
              <w:tab/>
            </w:r>
            <w:r w:rsidRPr="00EF1289">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_Toc428535196 \h </w:instrText>
            </w:r>
            <w:r>
              <w:rPr>
                <w:noProof/>
                <w:webHidden/>
              </w:rPr>
            </w:r>
            <w:r>
              <w:rPr>
                <w:noProof/>
                <w:webHidden/>
              </w:rPr>
              <w:fldChar w:fldCharType="separate"/>
            </w:r>
            <w:r>
              <w:rPr>
                <w:noProof/>
                <w:webHidden/>
              </w:rPr>
              <w:t>35</w:t>
            </w:r>
            <w:r>
              <w:rPr>
                <w:noProof/>
                <w:webHidden/>
              </w:rPr>
              <w:fldChar w:fldCharType="end"/>
            </w:r>
          </w:hyperlink>
        </w:p>
        <w:p w:rsidR="00981286" w:rsidRDefault="00981286">
          <w:pPr>
            <w:pStyle w:val="Spistreci2"/>
            <w:tabs>
              <w:tab w:val="left" w:pos="880"/>
              <w:tab w:val="right" w:leader="dot" w:pos="9062"/>
            </w:tabs>
            <w:rPr>
              <w:noProof/>
            </w:rPr>
          </w:pPr>
          <w:hyperlink w:anchor="_Toc428535197" w:history="1">
            <w:r w:rsidRPr="00EF1289">
              <w:rPr>
                <w:rStyle w:val="Hipercze"/>
                <w:rFonts w:ascii="Arial" w:hAnsi="Arial" w:cs="Arial"/>
                <w:i/>
                <w:noProof/>
              </w:rPr>
              <w:t>4.13</w:t>
            </w:r>
            <w:r>
              <w:rPr>
                <w:noProof/>
              </w:rPr>
              <w:tab/>
            </w:r>
            <w:r w:rsidRPr="00EF1289">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_Toc428535197 \h </w:instrText>
            </w:r>
            <w:r>
              <w:rPr>
                <w:noProof/>
                <w:webHidden/>
              </w:rPr>
            </w:r>
            <w:r>
              <w:rPr>
                <w:noProof/>
                <w:webHidden/>
              </w:rPr>
              <w:fldChar w:fldCharType="separate"/>
            </w:r>
            <w:r>
              <w:rPr>
                <w:noProof/>
                <w:webHidden/>
              </w:rPr>
              <w:t>35</w:t>
            </w:r>
            <w:r>
              <w:rPr>
                <w:noProof/>
                <w:webHidden/>
              </w:rPr>
              <w:fldChar w:fldCharType="end"/>
            </w:r>
          </w:hyperlink>
        </w:p>
        <w:p w:rsidR="00981286" w:rsidRDefault="00981286">
          <w:pPr>
            <w:pStyle w:val="Spistreci2"/>
            <w:tabs>
              <w:tab w:val="left" w:pos="880"/>
              <w:tab w:val="right" w:leader="dot" w:pos="9062"/>
            </w:tabs>
            <w:rPr>
              <w:noProof/>
            </w:rPr>
          </w:pPr>
          <w:hyperlink w:anchor="_Toc428535198" w:history="1">
            <w:r w:rsidRPr="00EF1289">
              <w:rPr>
                <w:rStyle w:val="Hipercze"/>
                <w:rFonts w:ascii="Arial" w:hAnsi="Arial" w:cs="Arial"/>
                <w:i/>
                <w:noProof/>
              </w:rPr>
              <w:t>4.14</w:t>
            </w:r>
            <w:r>
              <w:rPr>
                <w:noProof/>
              </w:rPr>
              <w:tab/>
            </w:r>
            <w:r w:rsidRPr="00EF1289">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_Toc428535198 \h </w:instrText>
            </w:r>
            <w:r>
              <w:rPr>
                <w:noProof/>
                <w:webHidden/>
              </w:rPr>
            </w:r>
            <w:r>
              <w:rPr>
                <w:noProof/>
                <w:webHidden/>
              </w:rPr>
              <w:fldChar w:fldCharType="separate"/>
            </w:r>
            <w:r>
              <w:rPr>
                <w:noProof/>
                <w:webHidden/>
              </w:rPr>
              <w:t>35</w:t>
            </w:r>
            <w:r>
              <w:rPr>
                <w:noProof/>
                <w:webHidden/>
              </w:rPr>
              <w:fldChar w:fldCharType="end"/>
            </w:r>
          </w:hyperlink>
        </w:p>
        <w:p w:rsidR="00981286" w:rsidRDefault="00981286">
          <w:pPr>
            <w:pStyle w:val="Spistreci2"/>
            <w:tabs>
              <w:tab w:val="left" w:pos="880"/>
              <w:tab w:val="right" w:leader="dot" w:pos="9062"/>
            </w:tabs>
            <w:rPr>
              <w:noProof/>
            </w:rPr>
          </w:pPr>
          <w:hyperlink w:anchor="_Toc428535199" w:history="1">
            <w:r w:rsidRPr="00EF1289">
              <w:rPr>
                <w:rStyle w:val="Hipercze"/>
                <w:rFonts w:ascii="Arial" w:hAnsi="Arial" w:cs="Arial"/>
                <w:i/>
                <w:noProof/>
              </w:rPr>
              <w:t>4.15</w:t>
            </w:r>
            <w:r>
              <w:rPr>
                <w:noProof/>
              </w:rPr>
              <w:tab/>
            </w:r>
            <w:r w:rsidRPr="00EF1289">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_Toc428535199 \h </w:instrText>
            </w:r>
            <w:r>
              <w:rPr>
                <w:noProof/>
                <w:webHidden/>
              </w:rPr>
            </w:r>
            <w:r>
              <w:rPr>
                <w:noProof/>
                <w:webHidden/>
              </w:rPr>
              <w:fldChar w:fldCharType="separate"/>
            </w:r>
            <w:r>
              <w:rPr>
                <w:noProof/>
                <w:webHidden/>
              </w:rPr>
              <w:t>35</w:t>
            </w:r>
            <w:r>
              <w:rPr>
                <w:noProof/>
                <w:webHidden/>
              </w:rPr>
              <w:fldChar w:fldCharType="end"/>
            </w:r>
          </w:hyperlink>
        </w:p>
        <w:p w:rsidR="00981286" w:rsidRDefault="00981286">
          <w:pPr>
            <w:pStyle w:val="Spistreci2"/>
            <w:tabs>
              <w:tab w:val="left" w:pos="880"/>
              <w:tab w:val="right" w:leader="dot" w:pos="9062"/>
            </w:tabs>
            <w:rPr>
              <w:noProof/>
            </w:rPr>
          </w:pPr>
          <w:hyperlink w:anchor="_Toc428535200" w:history="1">
            <w:r w:rsidRPr="00EF1289">
              <w:rPr>
                <w:rStyle w:val="Hipercze"/>
                <w:rFonts w:ascii="Arial" w:hAnsi="Arial" w:cs="Arial"/>
                <w:i/>
                <w:noProof/>
              </w:rPr>
              <w:t>4.16</w:t>
            </w:r>
            <w:r>
              <w:rPr>
                <w:noProof/>
              </w:rPr>
              <w:tab/>
            </w:r>
            <w:r w:rsidRPr="00EF1289">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_Toc428535200 \h </w:instrText>
            </w:r>
            <w:r>
              <w:rPr>
                <w:noProof/>
                <w:webHidden/>
              </w:rPr>
            </w:r>
            <w:r>
              <w:rPr>
                <w:noProof/>
                <w:webHidden/>
              </w:rPr>
              <w:fldChar w:fldCharType="separate"/>
            </w:r>
            <w:r>
              <w:rPr>
                <w:noProof/>
                <w:webHidden/>
              </w:rPr>
              <w:t>36</w:t>
            </w:r>
            <w:r>
              <w:rPr>
                <w:noProof/>
                <w:webHidden/>
              </w:rPr>
              <w:fldChar w:fldCharType="end"/>
            </w:r>
          </w:hyperlink>
        </w:p>
        <w:p w:rsidR="00981286" w:rsidRDefault="00981286">
          <w:pPr>
            <w:pStyle w:val="Spistreci2"/>
            <w:tabs>
              <w:tab w:val="left" w:pos="880"/>
              <w:tab w:val="right" w:leader="dot" w:pos="9062"/>
            </w:tabs>
            <w:rPr>
              <w:noProof/>
            </w:rPr>
          </w:pPr>
          <w:hyperlink w:anchor="_Toc428535201" w:history="1">
            <w:r w:rsidRPr="00EF1289">
              <w:rPr>
                <w:rStyle w:val="Hipercze"/>
                <w:rFonts w:ascii="Arial" w:hAnsi="Arial" w:cs="Arial"/>
                <w:i/>
                <w:noProof/>
              </w:rPr>
              <w:t>4.17</w:t>
            </w:r>
            <w:r>
              <w:rPr>
                <w:noProof/>
              </w:rPr>
              <w:tab/>
            </w:r>
            <w:r w:rsidRPr="00EF1289">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_Toc428535201 \h </w:instrText>
            </w:r>
            <w:r>
              <w:rPr>
                <w:noProof/>
                <w:webHidden/>
              </w:rPr>
            </w:r>
            <w:r>
              <w:rPr>
                <w:noProof/>
                <w:webHidden/>
              </w:rPr>
              <w:fldChar w:fldCharType="separate"/>
            </w:r>
            <w:r>
              <w:rPr>
                <w:noProof/>
                <w:webHidden/>
              </w:rPr>
              <w:t>37</w:t>
            </w:r>
            <w:r>
              <w:rPr>
                <w:noProof/>
                <w:webHidden/>
              </w:rPr>
              <w:fldChar w:fldCharType="end"/>
            </w:r>
          </w:hyperlink>
        </w:p>
        <w:p w:rsidR="00981286" w:rsidRDefault="00981286">
          <w:pPr>
            <w:pStyle w:val="Spistreci1"/>
            <w:rPr>
              <w:rFonts w:asciiTheme="minorHAnsi" w:hAnsiTheme="minorHAnsi" w:cstheme="minorBidi"/>
              <w:b w:val="0"/>
            </w:rPr>
          </w:pPr>
          <w:hyperlink w:anchor="_Toc428535202" w:history="1">
            <w:r w:rsidRPr="00EF1289">
              <w:rPr>
                <w:rStyle w:val="Hipercze"/>
              </w:rPr>
              <w:t>5.</w:t>
            </w:r>
            <w:r>
              <w:rPr>
                <w:rFonts w:asciiTheme="minorHAnsi" w:hAnsiTheme="minorHAnsi" w:cstheme="minorBidi"/>
                <w:b w:val="0"/>
              </w:rPr>
              <w:tab/>
            </w:r>
            <w:r w:rsidRPr="00EF1289">
              <w:rPr>
                <w:rStyle w:val="Hipercze"/>
              </w:rPr>
              <w:t>Rozdział - Oś priorytetowa II. E-administracja i otwarty rząd - szczegółowe zasady kwalifikowalności wydatków w ramach EFRR</w:t>
            </w:r>
            <w:r>
              <w:rPr>
                <w:webHidden/>
              </w:rPr>
              <w:tab/>
            </w:r>
            <w:r>
              <w:rPr>
                <w:webHidden/>
              </w:rPr>
              <w:fldChar w:fldCharType="begin"/>
            </w:r>
            <w:r>
              <w:rPr>
                <w:webHidden/>
              </w:rPr>
              <w:instrText xml:space="preserve"> PAGEREF _Toc428535202 \h </w:instrText>
            </w:r>
            <w:r>
              <w:rPr>
                <w:webHidden/>
              </w:rPr>
            </w:r>
            <w:r>
              <w:rPr>
                <w:webHidden/>
              </w:rPr>
              <w:fldChar w:fldCharType="separate"/>
            </w:r>
            <w:r>
              <w:rPr>
                <w:webHidden/>
              </w:rPr>
              <w:t>39</w:t>
            </w:r>
            <w:r>
              <w:rPr>
                <w:webHidden/>
              </w:rPr>
              <w:fldChar w:fldCharType="end"/>
            </w:r>
          </w:hyperlink>
        </w:p>
        <w:p w:rsidR="00981286" w:rsidRDefault="00981286">
          <w:pPr>
            <w:pStyle w:val="Spistreci2"/>
            <w:tabs>
              <w:tab w:val="left" w:pos="880"/>
              <w:tab w:val="right" w:leader="dot" w:pos="9062"/>
            </w:tabs>
            <w:rPr>
              <w:noProof/>
            </w:rPr>
          </w:pPr>
          <w:hyperlink w:anchor="_Toc428535203" w:history="1">
            <w:r w:rsidRPr="00EF1289">
              <w:rPr>
                <w:rStyle w:val="Hipercze"/>
                <w:rFonts w:ascii="Arial" w:hAnsi="Arial" w:cs="Arial"/>
                <w:i/>
                <w:noProof/>
              </w:rPr>
              <w:t>5.1</w:t>
            </w:r>
            <w:r>
              <w:rPr>
                <w:noProof/>
              </w:rPr>
              <w:tab/>
            </w:r>
            <w:r w:rsidRPr="00EF1289">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_Toc428535203 \h </w:instrText>
            </w:r>
            <w:r>
              <w:rPr>
                <w:noProof/>
                <w:webHidden/>
              </w:rPr>
            </w:r>
            <w:r>
              <w:rPr>
                <w:noProof/>
                <w:webHidden/>
              </w:rPr>
              <w:fldChar w:fldCharType="separate"/>
            </w:r>
            <w:r>
              <w:rPr>
                <w:noProof/>
                <w:webHidden/>
              </w:rPr>
              <w:t>40</w:t>
            </w:r>
            <w:r>
              <w:rPr>
                <w:noProof/>
                <w:webHidden/>
              </w:rPr>
              <w:fldChar w:fldCharType="end"/>
            </w:r>
          </w:hyperlink>
        </w:p>
        <w:p w:rsidR="00981286" w:rsidRDefault="00981286">
          <w:pPr>
            <w:pStyle w:val="Spistreci3"/>
            <w:tabs>
              <w:tab w:val="left" w:pos="1320"/>
              <w:tab w:val="right" w:leader="dot" w:pos="9062"/>
            </w:tabs>
            <w:rPr>
              <w:noProof/>
            </w:rPr>
          </w:pPr>
          <w:hyperlink w:anchor="_Toc428535204" w:history="1">
            <w:r w:rsidRPr="00EF1289">
              <w:rPr>
                <w:rStyle w:val="Hipercze"/>
                <w:rFonts w:ascii="Arial" w:hAnsi="Arial" w:cs="Arial"/>
                <w:i/>
                <w:noProof/>
              </w:rPr>
              <w:t>5.1.1</w:t>
            </w:r>
            <w:r>
              <w:rPr>
                <w:noProof/>
              </w:rPr>
              <w:tab/>
            </w:r>
            <w:r w:rsidRPr="00EF1289">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_Toc428535204 \h </w:instrText>
            </w:r>
            <w:r>
              <w:rPr>
                <w:noProof/>
                <w:webHidden/>
              </w:rPr>
            </w:r>
            <w:r>
              <w:rPr>
                <w:noProof/>
                <w:webHidden/>
              </w:rPr>
              <w:fldChar w:fldCharType="separate"/>
            </w:r>
            <w:r>
              <w:rPr>
                <w:noProof/>
                <w:webHidden/>
              </w:rPr>
              <w:t>40</w:t>
            </w:r>
            <w:r>
              <w:rPr>
                <w:noProof/>
                <w:webHidden/>
              </w:rPr>
              <w:fldChar w:fldCharType="end"/>
            </w:r>
          </w:hyperlink>
        </w:p>
        <w:p w:rsidR="00981286" w:rsidRDefault="00981286">
          <w:pPr>
            <w:pStyle w:val="Spistreci3"/>
            <w:tabs>
              <w:tab w:val="left" w:pos="1320"/>
              <w:tab w:val="right" w:leader="dot" w:pos="9062"/>
            </w:tabs>
            <w:rPr>
              <w:noProof/>
            </w:rPr>
          </w:pPr>
          <w:hyperlink w:anchor="_Toc428535205" w:history="1">
            <w:r w:rsidRPr="00EF1289">
              <w:rPr>
                <w:rStyle w:val="Hipercze"/>
                <w:rFonts w:ascii="Arial" w:hAnsi="Arial" w:cs="Arial"/>
                <w:i/>
                <w:noProof/>
              </w:rPr>
              <w:t>5.1.2</w:t>
            </w:r>
            <w:r>
              <w:rPr>
                <w:noProof/>
              </w:rPr>
              <w:tab/>
            </w:r>
            <w:r w:rsidRPr="00EF1289">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_Toc428535205 \h </w:instrText>
            </w:r>
            <w:r>
              <w:rPr>
                <w:noProof/>
                <w:webHidden/>
              </w:rPr>
            </w:r>
            <w:r>
              <w:rPr>
                <w:noProof/>
                <w:webHidden/>
              </w:rPr>
              <w:fldChar w:fldCharType="separate"/>
            </w:r>
            <w:r>
              <w:rPr>
                <w:noProof/>
                <w:webHidden/>
              </w:rPr>
              <w:t>46</w:t>
            </w:r>
            <w:r>
              <w:rPr>
                <w:noProof/>
                <w:webHidden/>
              </w:rPr>
              <w:fldChar w:fldCharType="end"/>
            </w:r>
          </w:hyperlink>
        </w:p>
        <w:p w:rsidR="00981286" w:rsidRDefault="00981286">
          <w:pPr>
            <w:pStyle w:val="Spistreci3"/>
            <w:tabs>
              <w:tab w:val="left" w:pos="1320"/>
              <w:tab w:val="right" w:leader="dot" w:pos="9062"/>
            </w:tabs>
            <w:rPr>
              <w:noProof/>
            </w:rPr>
          </w:pPr>
          <w:hyperlink w:anchor="_Toc428535206" w:history="1">
            <w:r w:rsidRPr="00EF1289">
              <w:rPr>
                <w:rStyle w:val="Hipercze"/>
                <w:rFonts w:ascii="Arial" w:hAnsi="Arial" w:cs="Arial"/>
                <w:i/>
                <w:noProof/>
              </w:rPr>
              <w:t>5.1.3</w:t>
            </w:r>
            <w:r>
              <w:rPr>
                <w:noProof/>
              </w:rPr>
              <w:tab/>
            </w:r>
            <w:r w:rsidRPr="00EF1289">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_Toc428535206 \h </w:instrText>
            </w:r>
            <w:r>
              <w:rPr>
                <w:noProof/>
                <w:webHidden/>
              </w:rPr>
            </w:r>
            <w:r>
              <w:rPr>
                <w:noProof/>
                <w:webHidden/>
              </w:rPr>
              <w:fldChar w:fldCharType="separate"/>
            </w:r>
            <w:r>
              <w:rPr>
                <w:noProof/>
                <w:webHidden/>
              </w:rPr>
              <w:t>47</w:t>
            </w:r>
            <w:r>
              <w:rPr>
                <w:noProof/>
                <w:webHidden/>
              </w:rPr>
              <w:fldChar w:fldCharType="end"/>
            </w:r>
          </w:hyperlink>
        </w:p>
        <w:p w:rsidR="00981286" w:rsidRDefault="00981286">
          <w:pPr>
            <w:pStyle w:val="Spistreci2"/>
            <w:tabs>
              <w:tab w:val="left" w:pos="880"/>
              <w:tab w:val="right" w:leader="dot" w:pos="9062"/>
            </w:tabs>
            <w:rPr>
              <w:noProof/>
            </w:rPr>
          </w:pPr>
          <w:hyperlink w:anchor="_Toc428535207" w:history="1">
            <w:r w:rsidRPr="00EF1289">
              <w:rPr>
                <w:rStyle w:val="Hipercze"/>
                <w:rFonts w:ascii="Arial" w:hAnsi="Arial" w:cs="Arial"/>
                <w:i/>
                <w:noProof/>
              </w:rPr>
              <w:t>5.2</w:t>
            </w:r>
            <w:r>
              <w:rPr>
                <w:noProof/>
              </w:rPr>
              <w:tab/>
            </w:r>
            <w:r w:rsidRPr="00EF1289">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_Toc428535207 \h </w:instrText>
            </w:r>
            <w:r>
              <w:rPr>
                <w:noProof/>
                <w:webHidden/>
              </w:rPr>
            </w:r>
            <w:r>
              <w:rPr>
                <w:noProof/>
                <w:webHidden/>
              </w:rPr>
              <w:fldChar w:fldCharType="separate"/>
            </w:r>
            <w:r>
              <w:rPr>
                <w:noProof/>
                <w:webHidden/>
              </w:rPr>
              <w:t>48</w:t>
            </w:r>
            <w:r>
              <w:rPr>
                <w:noProof/>
                <w:webHidden/>
              </w:rPr>
              <w:fldChar w:fldCharType="end"/>
            </w:r>
          </w:hyperlink>
        </w:p>
        <w:p w:rsidR="00981286" w:rsidRDefault="00981286">
          <w:pPr>
            <w:pStyle w:val="Spistreci2"/>
            <w:tabs>
              <w:tab w:val="left" w:pos="880"/>
              <w:tab w:val="right" w:leader="dot" w:pos="9062"/>
            </w:tabs>
            <w:rPr>
              <w:noProof/>
            </w:rPr>
          </w:pPr>
          <w:hyperlink w:anchor="_Toc428535208" w:history="1">
            <w:r w:rsidRPr="00EF1289">
              <w:rPr>
                <w:rStyle w:val="Hipercze"/>
                <w:rFonts w:ascii="Arial" w:hAnsi="Arial" w:cs="Arial"/>
                <w:i/>
                <w:noProof/>
              </w:rPr>
              <w:t>5.3</w:t>
            </w:r>
            <w:r>
              <w:rPr>
                <w:noProof/>
              </w:rPr>
              <w:tab/>
            </w:r>
            <w:r w:rsidRPr="00EF1289">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_Toc428535208 \h </w:instrText>
            </w:r>
            <w:r>
              <w:rPr>
                <w:noProof/>
                <w:webHidden/>
              </w:rPr>
            </w:r>
            <w:r>
              <w:rPr>
                <w:noProof/>
                <w:webHidden/>
              </w:rPr>
              <w:fldChar w:fldCharType="separate"/>
            </w:r>
            <w:r>
              <w:rPr>
                <w:noProof/>
                <w:webHidden/>
              </w:rPr>
              <w:t>48</w:t>
            </w:r>
            <w:r>
              <w:rPr>
                <w:noProof/>
                <w:webHidden/>
              </w:rPr>
              <w:fldChar w:fldCharType="end"/>
            </w:r>
          </w:hyperlink>
        </w:p>
        <w:p w:rsidR="00981286" w:rsidRDefault="00981286">
          <w:pPr>
            <w:pStyle w:val="Spistreci1"/>
            <w:rPr>
              <w:rFonts w:asciiTheme="minorHAnsi" w:hAnsiTheme="minorHAnsi" w:cstheme="minorBidi"/>
              <w:b w:val="0"/>
            </w:rPr>
          </w:pPr>
          <w:hyperlink w:anchor="_Toc428535209" w:history="1">
            <w:r w:rsidRPr="00EF1289">
              <w:rPr>
                <w:rStyle w:val="Hipercze"/>
                <w:rFonts w:eastAsia="Times New Roman" w:cs="Times New Roman"/>
                <w:bCs/>
              </w:rPr>
              <w:t>Załącznik nr 2 – Przykładowy wykaz możliwych nieprawidłowości w obszarze zamówień publicznych</w:t>
            </w:r>
            <w:r>
              <w:rPr>
                <w:webHidden/>
              </w:rPr>
              <w:tab/>
            </w:r>
            <w:r>
              <w:rPr>
                <w:webHidden/>
              </w:rPr>
              <w:fldChar w:fldCharType="begin"/>
            </w:r>
            <w:r>
              <w:rPr>
                <w:webHidden/>
              </w:rPr>
              <w:instrText xml:space="preserve"> PAGEREF _Toc428535209 \h </w:instrText>
            </w:r>
            <w:r>
              <w:rPr>
                <w:webHidden/>
              </w:rPr>
            </w:r>
            <w:r>
              <w:rPr>
                <w:webHidden/>
              </w:rPr>
              <w:fldChar w:fldCharType="separate"/>
            </w:r>
            <w:r>
              <w:rPr>
                <w:webHidden/>
              </w:rPr>
              <w:t>55</w:t>
            </w:r>
            <w:r>
              <w:rPr>
                <w:webHidden/>
              </w:rPr>
              <w:fldChar w:fldCharType="end"/>
            </w:r>
          </w:hyperlink>
        </w:p>
        <w:p w:rsidR="00981286" w:rsidRDefault="00981286">
          <w:pPr>
            <w:pStyle w:val="Spistreci1"/>
            <w:rPr>
              <w:rFonts w:asciiTheme="minorHAnsi" w:hAnsiTheme="minorHAnsi" w:cstheme="minorBidi"/>
              <w:b w:val="0"/>
            </w:rPr>
          </w:pPr>
          <w:hyperlink w:anchor="_Toc428535210" w:history="1">
            <w:r w:rsidRPr="00EF1289">
              <w:rPr>
                <w:rStyle w:val="Hipercze"/>
                <w:rFonts w:eastAsia="Times New Roman" w:cs="Times New Roman"/>
                <w:bCs/>
              </w:rPr>
              <w:t>Załącznik nr 3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_Toc428535210 \h </w:instrText>
            </w:r>
            <w:r>
              <w:rPr>
                <w:webHidden/>
              </w:rPr>
            </w:r>
            <w:r>
              <w:rPr>
                <w:webHidden/>
              </w:rPr>
              <w:fldChar w:fldCharType="separate"/>
            </w:r>
            <w:r>
              <w:rPr>
                <w:webHidden/>
              </w:rPr>
              <w:t>57</w:t>
            </w:r>
            <w:r>
              <w:rPr>
                <w:webHidden/>
              </w:rPr>
              <w:fldChar w:fldCharType="end"/>
            </w:r>
          </w:hyperlink>
        </w:p>
        <w:p w:rsidR="00755982" w:rsidRPr="007E469E" w:rsidRDefault="00012E85"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3" w:name="_Toc428535178"/>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3"/>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Pr="007E469E">
        <w:rPr>
          <w:rFonts w:ascii="Arial" w:hAnsi="Arial" w:cs="Arial"/>
          <w:i/>
        </w:rPr>
        <w:t>wytycznych</w:t>
      </w:r>
      <w:r w:rsidR="00AD29DB" w:rsidRPr="007E469E">
        <w:rPr>
          <w:rFonts w:ascii="Arial" w:hAnsi="Arial" w:cs="Arial"/>
          <w:i/>
        </w:rPr>
        <w:t xml:space="preserve"> programowych</w:t>
      </w:r>
      <w:r w:rsidRPr="007E469E">
        <w:rPr>
          <w:rFonts w:ascii="Arial" w:hAnsi="Arial" w:cs="Arial"/>
        </w:rPr>
        <w:t xml:space="preserve"> skróty oznaczają:</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EFSI – europejskie fundusze strukturalne i inwestycyjne,</w:t>
      </w:r>
    </w:p>
    <w:p w:rsidR="00F752E8" w:rsidRPr="007E469E" w:rsidRDefault="00F752E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EOG – Europejski Obszar Gospodarczy,</w:t>
      </w:r>
    </w:p>
    <w:p w:rsidR="003136F4" w:rsidRPr="007E469E" w:rsidRDefault="003136F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ETO – Europejski Trybunał Obrachunkowy,</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6D0337" w:rsidRPr="007E469E" w:rsidRDefault="00154F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KP –</w:t>
      </w:r>
      <w:r w:rsidR="006D0337" w:rsidRPr="007E469E">
        <w:rPr>
          <w:rFonts w:ascii="Arial" w:eastAsia="Times New Roman" w:hAnsi="Arial" w:cs="Arial"/>
          <w:lang w:eastAsia="pl-PL"/>
        </w:rPr>
        <w:t xml:space="preserve"> </w:t>
      </w:r>
      <w:r w:rsidR="00EF54BF" w:rsidRPr="007E469E">
        <w:rPr>
          <w:rFonts w:ascii="Arial" w:eastAsia="Times New Roman" w:hAnsi="Arial" w:cs="Arial"/>
          <w:lang w:eastAsia="pl-PL"/>
        </w:rPr>
        <w:t xml:space="preserve">Kodeks pracy, </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LSI – lokalny system </w:t>
      </w:r>
      <w:r w:rsidR="006C560E" w:rsidRPr="007E469E">
        <w:rPr>
          <w:rFonts w:ascii="Arial" w:eastAsia="Times New Roman" w:hAnsi="Arial" w:cs="Arial"/>
          <w:lang w:eastAsia="pl-PL"/>
        </w:rPr>
        <w:t>tele</w:t>
      </w:r>
      <w:r w:rsidRPr="007E469E">
        <w:rPr>
          <w:rFonts w:ascii="Arial" w:eastAsia="Times New Roman" w:hAnsi="Arial" w:cs="Arial"/>
          <w:lang w:eastAsia="pl-PL"/>
        </w:rPr>
        <w:t>informatyczny</w:t>
      </w:r>
      <w:r w:rsidR="006C560E"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MŚP – małe i średnie przedsiębiorstwa</w:t>
      </w:r>
      <w:r w:rsidR="006358A8" w:rsidRPr="007E469E">
        <w:rPr>
          <w:rFonts w:ascii="Arial" w:eastAsia="Times New Roman" w:hAnsi="Arial" w:cs="Arial"/>
          <w:lang w:eastAsia="pl-PL"/>
        </w:rPr>
        <w:t>,</w:t>
      </w:r>
    </w:p>
    <w:p w:rsidR="009C1841" w:rsidRPr="000559C6" w:rsidRDefault="00394A06" w:rsidP="0030426E">
      <w:pPr>
        <w:numPr>
          <w:ilvl w:val="0"/>
          <w:numId w:val="2"/>
        </w:numPr>
        <w:spacing w:before="240" w:after="240" w:line="360" w:lineRule="auto"/>
        <w:ind w:left="426" w:hanging="426"/>
        <w:jc w:val="both"/>
        <w:outlineLvl w:val="5"/>
        <w:rPr>
          <w:rFonts w:ascii="Arial" w:eastAsia="Times New Roman" w:hAnsi="Arial" w:cs="Arial"/>
          <w:lang w:val="en-GB" w:eastAsia="pl-PL"/>
        </w:rPr>
      </w:pPr>
      <w:r w:rsidRPr="000559C6">
        <w:rPr>
          <w:rFonts w:ascii="Arial" w:eastAsia="Times New Roman" w:hAnsi="Arial" w:cs="Arial"/>
          <w:lang w:val="en-GB" w:eastAsia="pl-PL"/>
        </w:rPr>
        <w:t xml:space="preserve">NGO – </w:t>
      </w:r>
      <w:proofErr w:type="spellStart"/>
      <w:r w:rsidR="000559C6" w:rsidRPr="000559C6">
        <w:rPr>
          <w:rFonts w:ascii="Arial" w:eastAsia="Times New Roman" w:hAnsi="Arial" w:cs="Arial"/>
          <w:lang w:val="en-GB" w:eastAsia="pl-PL"/>
        </w:rPr>
        <w:t>ang.</w:t>
      </w:r>
      <w:proofErr w:type="spellEnd"/>
      <w:r w:rsidR="000559C6" w:rsidRPr="000559C6">
        <w:rPr>
          <w:rFonts w:ascii="Arial" w:eastAsia="Times New Roman" w:hAnsi="Arial" w:cs="Arial"/>
          <w:lang w:val="en-GB" w:eastAsia="pl-PL"/>
        </w:rPr>
        <w:t xml:space="preserve"> </w:t>
      </w:r>
      <w:r w:rsidR="000559C6">
        <w:rPr>
          <w:rFonts w:ascii="Arial" w:eastAsia="Times New Roman" w:hAnsi="Arial" w:cs="Arial"/>
          <w:lang w:val="en-GB" w:eastAsia="pl-PL"/>
        </w:rPr>
        <w:t>n</w:t>
      </w:r>
      <w:r w:rsidR="000559C6" w:rsidRPr="000559C6">
        <w:rPr>
          <w:rFonts w:ascii="Arial" w:eastAsia="Times New Roman" w:hAnsi="Arial" w:cs="Arial"/>
          <w:lang w:val="en-GB" w:eastAsia="pl-PL"/>
        </w:rPr>
        <w:t xml:space="preserve">on-government organisation, </w:t>
      </w:r>
      <w:proofErr w:type="spellStart"/>
      <w:r w:rsidRPr="000559C6">
        <w:rPr>
          <w:rFonts w:ascii="Arial" w:eastAsia="Times New Roman" w:hAnsi="Arial" w:cs="Arial"/>
          <w:lang w:val="en-GB" w:eastAsia="pl-PL"/>
        </w:rPr>
        <w:t>organizacj</w:t>
      </w:r>
      <w:r w:rsidR="000559C6" w:rsidRPr="000559C6">
        <w:rPr>
          <w:rFonts w:ascii="Arial" w:eastAsia="Times New Roman" w:hAnsi="Arial" w:cs="Arial"/>
          <w:lang w:val="en-GB" w:eastAsia="pl-PL"/>
        </w:rPr>
        <w:t>a</w:t>
      </w:r>
      <w:proofErr w:type="spellEnd"/>
      <w:r w:rsidRPr="000559C6">
        <w:rPr>
          <w:rFonts w:ascii="Arial" w:eastAsia="Times New Roman" w:hAnsi="Arial" w:cs="Arial"/>
          <w:lang w:val="en-GB" w:eastAsia="pl-PL"/>
        </w:rPr>
        <w:t xml:space="preserve"> </w:t>
      </w:r>
      <w:proofErr w:type="spellStart"/>
      <w:r w:rsidR="000559C6" w:rsidRPr="000559C6">
        <w:rPr>
          <w:rFonts w:ascii="Arial" w:eastAsia="Times New Roman" w:hAnsi="Arial" w:cs="Arial"/>
          <w:lang w:val="en-GB" w:eastAsia="pl-PL"/>
        </w:rPr>
        <w:t>pozarządowa</w:t>
      </w:r>
      <w:proofErr w:type="spellEnd"/>
      <w:r w:rsidRPr="000559C6">
        <w:rPr>
          <w:rFonts w:ascii="Arial" w:eastAsia="Times New Roman" w:hAnsi="Arial" w:cs="Arial"/>
          <w:lang w:val="en-GB" w:eastAsia="pl-PL"/>
        </w:rPr>
        <w:t xml:space="preserve">, </w:t>
      </w:r>
    </w:p>
    <w:p w:rsidR="0042436A" w:rsidRPr="007E469E"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PPP – partnerstwo publiczno-prywatne,</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 rozumieniu art. 2 pkt 25 ustawy z dnia 11 lipca 2014 r. o zasadach realizacji programów w zakresie polityki spójności finansowanych w perspektywie finansowej 2014-2020 (Dz. U. z 2014 r., poz. 1146</w:t>
      </w:r>
      <w:r w:rsidR="001936FF">
        <w:rPr>
          <w:rFonts w:ascii="Arial" w:eastAsia="Times New Roman" w:hAnsi="Arial" w:cs="Arial"/>
          <w:lang w:eastAsia="pl-PL"/>
        </w:rPr>
        <w:t xml:space="preserve"> oraz z 2015 r. poz. 378</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4" w:name="_Toc428535179"/>
      <w:r w:rsidRPr="007E469E">
        <w:rPr>
          <w:rFonts w:ascii="Arial" w:hAnsi="Arial" w:cs="Arial"/>
          <w:color w:val="auto"/>
          <w:sz w:val="24"/>
          <w:szCs w:val="24"/>
        </w:rPr>
        <w:t xml:space="preserve">Rozdział </w:t>
      </w:r>
      <w:r w:rsidR="0032747B">
        <w:rPr>
          <w:rFonts w:ascii="Arial" w:hAnsi="Arial" w:cs="Arial"/>
          <w:color w:val="auto"/>
          <w:sz w:val="24"/>
          <w:szCs w:val="24"/>
        </w:rPr>
        <w:t>–</w:t>
      </w:r>
      <w:r w:rsidRPr="007E469E">
        <w:rPr>
          <w:rFonts w:ascii="Arial" w:hAnsi="Arial" w:cs="Arial"/>
          <w:color w:val="auto"/>
          <w:sz w:val="24"/>
          <w:szCs w:val="24"/>
        </w:rPr>
        <w:t xml:space="preserve"> </w:t>
      </w:r>
      <w:r w:rsidR="0032747B">
        <w:rPr>
          <w:rFonts w:ascii="Arial" w:hAnsi="Arial" w:cs="Arial"/>
          <w:color w:val="auto"/>
          <w:sz w:val="24"/>
          <w:szCs w:val="24"/>
        </w:rPr>
        <w:t>charakter i cel dokumentu</w:t>
      </w:r>
      <w:bookmarkEnd w:id="14"/>
    </w:p>
    <w:p w:rsidR="00AD0828" w:rsidRDefault="00E1174F" w:rsidP="00270841">
      <w:pPr>
        <w:pStyle w:val="Akapit"/>
        <w:numPr>
          <w:ilvl w:val="0"/>
          <w:numId w:val="0"/>
        </w:numPr>
        <w:ind w:left="-142"/>
        <w:rPr>
          <w:rFonts w:eastAsia="Calibri" w:cs="Arial"/>
        </w:rPr>
      </w:pPr>
      <w:r w:rsidRPr="007E469E">
        <w:t xml:space="preserve">Niniejsze </w:t>
      </w:r>
      <w:r w:rsidR="0091631C">
        <w:t>Zasady kwalifikowania wydatków w ramach II osi priorytetowej Programu Operacyjnego Polska Cyfrowa na lata 2014-2020</w:t>
      </w:r>
      <w:r w:rsidR="00F74C7F">
        <w:rPr>
          <w:i/>
        </w:rPr>
        <w:t xml:space="preserve"> </w:t>
      </w:r>
      <w:r w:rsidR="0032747B">
        <w:t>stanowią załącznik do konkursów w działaniu 2.3</w:t>
      </w:r>
      <w:r w:rsidR="00270841">
        <w:rPr>
          <w:rFonts w:eastAsia="Calibri" w:cs="Arial"/>
        </w:rPr>
        <w:t>.</w:t>
      </w:r>
      <w:r w:rsidR="0032747B">
        <w:rPr>
          <w:rFonts w:eastAsia="Calibri" w:cs="Arial"/>
        </w:rPr>
        <w:t xml:space="preserve"> POPC Cyfrowa dostępność i użyteczność informacji sektora publicznego, ogłoszonych w dniu 28 sierpnia 2015 r. </w:t>
      </w:r>
      <w:r w:rsidR="00775DBE">
        <w:rPr>
          <w:rFonts w:eastAsia="Calibri" w:cs="Arial"/>
        </w:rPr>
        <w:t>Ich celem jest określenie zasad kwalifikowania wydatków w tych konkursach.</w:t>
      </w:r>
    </w:p>
    <w:p w:rsidR="000F0A9D" w:rsidRPr="007E469E" w:rsidRDefault="00775DBE" w:rsidP="00270841">
      <w:pPr>
        <w:pStyle w:val="Akapit"/>
        <w:numPr>
          <w:ilvl w:val="0"/>
          <w:numId w:val="0"/>
        </w:numPr>
        <w:ind w:left="-142"/>
        <w:rPr>
          <w:rFonts w:eastAsia="Calibri" w:cs="Arial"/>
        </w:rPr>
      </w:pPr>
      <w:r>
        <w:rPr>
          <w:rFonts w:eastAsia="Calibri" w:cs="Arial"/>
        </w:rPr>
        <w:t xml:space="preserve">W momencie, gdy zostaną zatwierdzone </w:t>
      </w:r>
      <w:r w:rsidR="000F0A9D">
        <w:rPr>
          <w:rFonts w:eastAsia="Calibri" w:cs="Arial"/>
        </w:rPr>
        <w:t>W</w:t>
      </w:r>
      <w:r>
        <w:rPr>
          <w:rFonts w:eastAsia="Calibri" w:cs="Arial"/>
        </w:rPr>
        <w:t>ytyczne programow</w:t>
      </w:r>
      <w:r w:rsidR="000F0A9D">
        <w:rPr>
          <w:rFonts w:eastAsia="Calibri" w:cs="Arial"/>
        </w:rPr>
        <w:t xml:space="preserve">e </w:t>
      </w:r>
      <w:r w:rsidR="00244ED4">
        <w:rPr>
          <w:rFonts w:eastAsia="Calibri" w:cs="Arial"/>
        </w:rPr>
        <w:t xml:space="preserve">dla POPC </w:t>
      </w:r>
      <w:r w:rsidR="000F0A9D">
        <w:rPr>
          <w:rFonts w:eastAsia="Calibri" w:cs="Arial"/>
        </w:rPr>
        <w:t>dotyczące kwalifikowalności</w:t>
      </w:r>
      <w:r>
        <w:rPr>
          <w:rFonts w:eastAsia="Calibri" w:cs="Arial"/>
        </w:rPr>
        <w:t xml:space="preserve"> </w:t>
      </w:r>
      <w:r w:rsidRPr="007E469E">
        <w:t>na podstawie</w:t>
      </w:r>
      <w:r>
        <w:t xml:space="preserve"> </w:t>
      </w:r>
      <w:r w:rsidRPr="007E469E">
        <w:rPr>
          <w:rFonts w:eastAsia="Calibri" w:cs="Arial"/>
        </w:rPr>
        <w:t>art. 7 ust. 1 ustawy z dnia 11 lipca 2014 r. o zasadach realizacji programów operacyjnych polityki spójności finansowanych w perspektywie finansowej 2014-2020</w:t>
      </w:r>
      <w:r>
        <w:rPr>
          <w:rFonts w:eastAsia="Calibri" w:cs="Arial"/>
        </w:rPr>
        <w:t xml:space="preserve"> (Dz. U. poz. 1146 oraz z 2015 r. poz. 378)</w:t>
      </w:r>
      <w:r w:rsidRPr="007E469E">
        <w:rPr>
          <w:rFonts w:eastAsia="Calibri" w:cs="Arial"/>
        </w:rPr>
        <w:t>, zwanej dalej „ustawą wdrożeniową”</w:t>
      </w:r>
      <w:r w:rsidR="000F0A9D">
        <w:rPr>
          <w:rFonts w:eastAsia="Calibri" w:cs="Arial"/>
        </w:rPr>
        <w:t>, kwalifikowalność wydatków będzie określana na podstawie ww. wytycznych.</w:t>
      </w:r>
    </w:p>
    <w:p w:rsidR="00D75851" w:rsidRDefault="000F0A9D" w:rsidP="00660ECC">
      <w:pPr>
        <w:pStyle w:val="Akapit"/>
        <w:numPr>
          <w:ilvl w:val="0"/>
          <w:numId w:val="0"/>
        </w:numPr>
        <w:ind w:left="-142"/>
        <w:rPr>
          <w:rFonts w:eastAsia="Calibri"/>
        </w:rPr>
      </w:pPr>
      <w:r>
        <w:rPr>
          <w:rFonts w:eastAsia="Calibri"/>
        </w:rPr>
        <w:t>Ponieważ zakres tematyczny przyszłych wytycznych programowych i Zasad będzie ten sam, ilekroć w niniejszym dokumencie używa się sformułowania „wytyczne programowe”, należy pod nim rozumieć również Zasady.</w:t>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5" w:name="_Toc428535180"/>
      <w:r w:rsidRPr="007E469E">
        <w:rPr>
          <w:rFonts w:ascii="Arial" w:hAnsi="Arial" w:cs="Arial"/>
          <w:color w:val="auto"/>
          <w:sz w:val="24"/>
          <w:szCs w:val="24"/>
        </w:rPr>
        <w:t>Rozdział - Słowniczek pojęć</w:t>
      </w:r>
      <w:bookmarkEnd w:id="15"/>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Pr="007E469E">
        <w:rPr>
          <w:rFonts w:ascii="Arial" w:eastAsia="Calibri" w:hAnsi="Arial" w:cs="Arial"/>
          <w:i/>
        </w:rPr>
        <w:t>Wytycznych</w:t>
      </w:r>
      <w:r w:rsidR="00AD29DB" w:rsidRPr="007E469E">
        <w:rPr>
          <w:rFonts w:ascii="Arial" w:eastAsia="Calibri" w:hAnsi="Arial" w:cs="Arial"/>
          <w:i/>
        </w:rPr>
        <w:t xml:space="preserve"> programowych</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AF2250" w:rsidRPr="003C75A8">
        <w:rPr>
          <w:rFonts w:ascii="Arial" w:eastAsia="Calibri" w:hAnsi="Arial" w:cs="Arial"/>
          <w:i/>
        </w:rPr>
        <w:t>Wytycznych programowych</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wskazan</w:t>
      </w:r>
      <w:r w:rsidR="00A827B8">
        <w:rPr>
          <w:rFonts w:ascii="Arial" w:eastAsia="Calibri" w:hAnsi="Arial" w:cs="Arial"/>
        </w:rPr>
        <w:t>ego</w:t>
      </w:r>
      <w:r w:rsidRPr="007E469E">
        <w:rPr>
          <w:rFonts w:ascii="Arial" w:eastAsia="Calibri" w:hAnsi="Arial" w:cs="Arial"/>
        </w:rPr>
        <w:t xml:space="preserve">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5B528A" w:rsidRPr="007E469E">
        <w:rPr>
          <w:rFonts w:ascii="Arial" w:eastAsia="Calibri" w:hAnsi="Arial" w:cs="Arial"/>
          <w:i/>
        </w:rPr>
        <w:t>programowych</w:t>
      </w:r>
      <w:r w:rsidR="005B528A"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B452D6" w:rsidRPr="007E469E">
        <w:rPr>
          <w:rFonts w:ascii="Arial" w:eastAsia="Calibri" w:hAnsi="Arial" w:cs="Arial"/>
        </w:rPr>
        <w:t>/porozumienia</w:t>
      </w:r>
      <w:r w:rsidRPr="007E469E">
        <w:rPr>
          <w:rFonts w:ascii="Arial" w:eastAsia="Calibri" w:hAnsi="Arial" w:cs="Arial"/>
        </w:rPr>
        <w:t xml:space="preserve"> 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AF2250">
        <w:rPr>
          <w:rFonts w:ascii="Arial" w:eastAsia="Times New Roman" w:hAnsi="Arial" w:cs="Arial"/>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 xml:space="preserve">tzw. zasadę elastyczności, o której mowa w art. 98 ust. 2 rozporządzenia ogólnego, </w:t>
      </w:r>
      <w:r w:rsidR="005F5959" w:rsidRPr="005F5959">
        <w:rPr>
          <w:rFonts w:ascii="Arial" w:eastAsia="Calibri" w:hAnsi="Arial" w:cs="Arial"/>
        </w:rPr>
        <w:t xml:space="preserve">która ma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2A72AF">
        <w:rPr>
          <w:rStyle w:val="Odwoanieprzypisudolnego"/>
          <w:rFonts w:eastAsiaTheme="majorEastAsia"/>
          <w:sz w:val="20"/>
          <w:szCs w:val="20"/>
        </w:rPr>
        <w:footnoteReference w:id="2"/>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Pr>
          <w:rStyle w:val="Odwoanieprzypisudolnego"/>
          <w:rFonts w:ascii="Arial" w:eastAsia="Calibri" w:hAnsi="Arial" w:cs="Arial"/>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współfinansowanie UE lub współfinanso</w:t>
      </w:r>
      <w:r w:rsidR="00E72277" w:rsidRPr="007E469E">
        <w:rPr>
          <w:rFonts w:ascii="Arial" w:eastAsia="Calibri" w:hAnsi="Arial" w:cs="Arial"/>
        </w:rPr>
        <w:t>wanie krajowe z budżetu państwa</w:t>
      </w:r>
      <w:r w:rsidR="00EF3A1D" w:rsidRPr="00B00420">
        <w:rPr>
          <w:sz w:val="16"/>
          <w:szCs w:val="16"/>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91631C">
      <w:pPr>
        <w:numPr>
          <w:ilvl w:val="0"/>
          <w:numId w:val="13"/>
        </w:numPr>
        <w:spacing w:after="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Pr="005476DC" w:rsidRDefault="007548E0" w:rsidP="0091631C">
      <w:pPr>
        <w:pStyle w:val="Akapit"/>
        <w:keepNext w:val="0"/>
        <w:numPr>
          <w:ilvl w:val="0"/>
          <w:numId w:val="13"/>
        </w:numPr>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EF54BF"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cs="Arial"/>
        </w:rPr>
        <w:t>Kodeks pracy - ustaw</w:t>
      </w:r>
      <w:r w:rsidR="001512EB" w:rsidRPr="00B407F1">
        <w:rPr>
          <w:rFonts w:cs="Arial"/>
        </w:rPr>
        <w:t>ę</w:t>
      </w:r>
      <w:r w:rsidRPr="00B407F1">
        <w:rPr>
          <w:rFonts w:cs="Arial"/>
        </w:rPr>
        <w:t xml:space="preserve"> z dnia 26 czerwca 1974 r. Kodeks pracy (Dz. U. z </w:t>
      </w:r>
      <w:r w:rsidR="004C6619">
        <w:rPr>
          <w:rFonts w:cs="Arial"/>
        </w:rPr>
        <w:t>2014</w:t>
      </w:r>
      <w:r w:rsidRPr="00B407F1">
        <w:rPr>
          <w:rFonts w:cs="Arial"/>
        </w:rPr>
        <w:t xml:space="preserve"> r poz. </w:t>
      </w:r>
      <w:r w:rsidR="004C6619">
        <w:rPr>
          <w:rFonts w:cs="Arial"/>
        </w:rPr>
        <w:t>1502</w:t>
      </w:r>
      <w:r w:rsidRPr="00B407F1">
        <w:rPr>
          <w:rFonts w:cs="Arial"/>
        </w:rPr>
        <w:t xml:space="preserve">, z </w:t>
      </w:r>
      <w:proofErr w:type="spellStart"/>
      <w:r w:rsidRPr="00B407F1">
        <w:rPr>
          <w:rFonts w:cs="Arial"/>
        </w:rPr>
        <w:t>pózn</w:t>
      </w:r>
      <w:proofErr w:type="spellEnd"/>
      <w:r w:rsidRPr="00B407F1">
        <w:rPr>
          <w:rFonts w:cs="Arial"/>
        </w:rPr>
        <w:t>. zm.);</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 xml:space="preserve">jących zastosowanie do budżetu ogólnego Unii oraz uchylające rozporządzenie Rady (WE, </w:t>
      </w:r>
      <w:proofErr w:type="spellStart"/>
      <w:r w:rsidR="00A80E1D" w:rsidRPr="00616629">
        <w:rPr>
          <w:rFonts w:eastAsia="Calibri" w:cs="Arial"/>
        </w:rPr>
        <w:t>Euratom</w:t>
      </w:r>
      <w:proofErr w:type="spellEnd"/>
      <w:r w:rsidR="00A80E1D" w:rsidRPr="00616629">
        <w:rPr>
          <w:rFonts w:eastAsia="Calibri" w:cs="Arial"/>
        </w:rPr>
        <w:t>)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1F57A5">
      <w:pPr>
        <w:pStyle w:val="Akapit"/>
        <w:keepNext w:val="0"/>
        <w:numPr>
          <w:ilvl w:val="0"/>
          <w:numId w:val="13"/>
        </w:numPr>
        <w:autoSpaceDE w:val="0"/>
        <w:autoSpaceDN w:val="0"/>
        <w:adjustRightInd w:val="0"/>
        <w:contextualSpacing/>
        <w:outlineLvl w:val="5"/>
        <w:rPr>
          <w:rFonts w:eastAsia="Calibri" w:cs="Arial"/>
        </w:rPr>
      </w:pPr>
      <w:r w:rsidRPr="00EB55C3">
        <w:rPr>
          <w:rFonts w:eastAsia="Calibri" w:cs="Arial"/>
        </w:rPr>
        <w:t xml:space="preserve">korekta finansowa – </w:t>
      </w:r>
      <w:r w:rsidR="00A64D34" w:rsidRPr="00EB55C3">
        <w:rPr>
          <w:rFonts w:eastAsia="Calibri" w:cs="Arial"/>
        </w:rPr>
        <w:t xml:space="preserve">korektę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2814CF" w:rsidRDefault="00EF54BF" w:rsidP="001F57A5">
      <w:pPr>
        <w:numPr>
          <w:ilvl w:val="0"/>
          <w:numId w:val="13"/>
        </w:numPr>
        <w:spacing w:after="0" w:line="360" w:lineRule="auto"/>
        <w:contextualSpacing/>
        <w:jc w:val="both"/>
        <w:rPr>
          <w:rFonts w:ascii="Arial" w:hAnsi="Arial"/>
        </w:rPr>
      </w:pPr>
      <w:r w:rsidRPr="00F86FA6">
        <w:rPr>
          <w:rFonts w:ascii="Arial" w:hAnsi="Arial"/>
        </w:rPr>
        <w:t>lokalny system informatyczny –</w:t>
      </w:r>
      <w:r w:rsidR="00FC112E" w:rsidRPr="00F86FA6">
        <w:rPr>
          <w:rFonts w:ascii="Arial" w:hAnsi="Arial"/>
        </w:rPr>
        <w:t xml:space="preserve"> </w:t>
      </w:r>
      <w:r w:rsidR="00B1308B" w:rsidRPr="00F86FA6">
        <w:rPr>
          <w:rFonts w:ascii="Arial" w:hAnsi="Arial"/>
        </w:rPr>
        <w:t>system umożliwiający wymianę danych z centralnym systemem informatycznym SL2014 i zapewniający obsługę procesów związanych z wnioskowaniem o dofinansowanie oraz pełniący funkcje monitoringowe o charakterze uzupełniającym dla systemu centralnego SL2014</w:t>
      </w:r>
      <w:r w:rsidR="001512EB" w:rsidRPr="00F86FA6">
        <w:rPr>
          <w:rFonts w:ascii="Arial" w:hAnsi="Arial"/>
        </w:rPr>
        <w:t>;</w:t>
      </w:r>
    </w:p>
    <w:p w:rsidR="002814CF" w:rsidRPr="002814CF" w:rsidRDefault="002814CF" w:rsidP="002814CF">
      <w:pPr>
        <w:numPr>
          <w:ilvl w:val="0"/>
          <w:numId w:val="13"/>
        </w:numPr>
        <w:spacing w:before="240" w:after="240" w:line="360" w:lineRule="auto"/>
        <w:contextualSpacing/>
        <w:jc w:val="both"/>
        <w:rPr>
          <w:rFonts w:ascii="Arial" w:hAnsi="Arial"/>
        </w:rPr>
      </w:pPr>
      <w:proofErr w:type="spellStart"/>
      <w:r w:rsidRPr="002814CF">
        <w:rPr>
          <w:rFonts w:ascii="Arial" w:hAnsi="Arial"/>
        </w:rPr>
        <w:t>megaustawa</w:t>
      </w:r>
      <w:proofErr w:type="spellEnd"/>
      <w:r w:rsidRPr="002814CF">
        <w:rPr>
          <w:rFonts w:ascii="Arial" w:hAnsi="Arial"/>
        </w:rPr>
        <w:t xml:space="preserve"> telekomunikacyjna - </w:t>
      </w:r>
      <w:r>
        <w:rPr>
          <w:rFonts w:ascii="Arial" w:hAnsi="Arial" w:cs="Arial"/>
        </w:rPr>
        <w:t>ustawa</w:t>
      </w:r>
      <w:r w:rsidRPr="002814CF">
        <w:rPr>
          <w:rFonts w:ascii="Arial" w:hAnsi="Arial" w:cs="Arial"/>
        </w:rPr>
        <w:t xml:space="preserve"> z dnia 7 maja 2010 r. o wspieraniu rozwoju usług i sieci telekomunikacyjnych (Dz. U. z 2010 r. Nr 106, poz. 675 z </w:t>
      </w:r>
      <w:proofErr w:type="spellStart"/>
      <w:r w:rsidRPr="002814CF">
        <w:rPr>
          <w:rFonts w:ascii="Arial" w:hAnsi="Arial" w:cs="Arial"/>
        </w:rPr>
        <w:t>późn</w:t>
      </w:r>
      <w:proofErr w:type="spellEnd"/>
      <w:r w:rsidRPr="002814CF">
        <w:rPr>
          <w:rFonts w:ascii="Arial" w:hAnsi="Arial" w:cs="Arial"/>
        </w:rPr>
        <w:t>. zm.).</w:t>
      </w:r>
    </w:p>
    <w:p w:rsidR="00811906" w:rsidRPr="00F86FA6" w:rsidRDefault="00811906" w:rsidP="008A69F7">
      <w:pPr>
        <w:numPr>
          <w:ilvl w:val="0"/>
          <w:numId w:val="13"/>
        </w:numPr>
        <w:spacing w:before="240" w:after="240" w:line="360" w:lineRule="auto"/>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 xml:space="preserve">mikro, małe i średnie przedsiębiorstwa w rozumieniu załącznika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2014 r. poz. 121, z </w:t>
      </w:r>
      <w:proofErr w:type="spellStart"/>
      <w:r w:rsidRPr="005476DC">
        <w:rPr>
          <w:rFonts w:ascii="Arial" w:hAnsi="Arial"/>
        </w:rPr>
        <w:t>późn</w:t>
      </w:r>
      <w:proofErr w:type="spellEnd"/>
      <w:r w:rsidRPr="005476DC">
        <w:rPr>
          <w:rFonts w:ascii="Arial" w:hAnsi="Arial"/>
        </w:rPr>
        <w:t>. zm.), 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odbiorca ostateczny – grupę docelową </w:t>
      </w:r>
      <w:r w:rsidR="00C5464E" w:rsidRPr="007E469E">
        <w:rPr>
          <w:rFonts w:ascii="Arial" w:hAnsi="Arial"/>
        </w:rPr>
        <w:t xml:space="preserve">projektów finansowanych z EFRR </w:t>
      </w:r>
      <w:r w:rsidRPr="007E469E">
        <w:rPr>
          <w:rFonts w:ascii="Arial" w:hAnsi="Arial"/>
        </w:rPr>
        <w:t>(</w:t>
      </w:r>
      <w:r w:rsidR="005D37FE" w:rsidRPr="007E469E">
        <w:rPr>
          <w:rFonts w:ascii="Arial" w:hAnsi="Arial"/>
        </w:rPr>
        <w:t>osoby fizyczne, osoby prawne, jednostki organizacyjne nie posiadające osobowości prawnej</w:t>
      </w:r>
      <w:r w:rsidRPr="007E469E">
        <w:rPr>
          <w:rFonts w:ascii="Arial" w:hAnsi="Arial"/>
        </w:rPr>
        <w:t>)</w:t>
      </w:r>
      <w:r w:rsidR="005D37FE" w:rsidRPr="007E469E">
        <w:rPr>
          <w:rFonts w:ascii="Arial" w:hAnsi="Arial"/>
        </w:rPr>
        <w:t>,</w:t>
      </w:r>
      <w:r w:rsidRPr="007E469E">
        <w:rPr>
          <w:rFonts w:ascii="Arial" w:hAnsi="Arial"/>
        </w:rPr>
        <w:t xml:space="preserve"> </w:t>
      </w:r>
      <w:r w:rsidR="0086362C" w:rsidRPr="007E469E">
        <w:rPr>
          <w:rFonts w:ascii="Arial" w:hAnsi="Arial"/>
        </w:rPr>
        <w:t xml:space="preserve">która będzie korzystała z </w:t>
      </w:r>
      <w:r w:rsidR="00D46B2C">
        <w:rPr>
          <w:rFonts w:ascii="Arial" w:hAnsi="Arial"/>
        </w:rPr>
        <w:t xml:space="preserve">efektów/rezultatów powstałych w wyniku realizacji projektu </w:t>
      </w:r>
      <w:r w:rsidR="0086362C" w:rsidRPr="007E469E">
        <w:rPr>
          <w:rFonts w:ascii="Arial" w:hAnsi="Arial"/>
        </w:rPr>
        <w:t xml:space="preserve">w ramach </w:t>
      </w:r>
      <w:r w:rsidR="003D08E1" w:rsidRPr="007E469E">
        <w:rPr>
          <w:rFonts w:ascii="Arial" w:hAnsi="Arial"/>
        </w:rPr>
        <w:t>POPC;</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niniejszych Wytycznych oznacza projekt lub grupę projektów wybranych przez IP POPC, przyczyniające się do realizacji celów danego działania, do których się 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 xml:space="preserve">ustawy z dnia 24 kwietnia 2003 r. o działalności pożytku publicznego i o wolontariacie (Dz. U. z 2014 r. poz. 1118, </w:t>
      </w:r>
      <w:proofErr w:type="spellStart"/>
      <w:r w:rsidR="00090E32" w:rsidRPr="007E469E">
        <w:rPr>
          <w:rFonts w:ascii="Arial" w:hAnsi="Arial"/>
        </w:rPr>
        <w:t>t.j</w:t>
      </w:r>
      <w:proofErr w:type="spellEnd"/>
      <w:r w:rsidR="00090E32" w:rsidRPr="007E469E">
        <w:rPr>
          <w:rFonts w:ascii="Arial" w:hAnsi="Arial"/>
        </w:rPr>
        <w:t>.)</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B14D05">
        <w:rPr>
          <w:rFonts w:ascii="Arial" w:hAnsi="Arial"/>
        </w:rPr>
        <w:t>;</w:t>
      </w:r>
      <w:r w:rsidR="008B5852" w:rsidRPr="008B5852">
        <w:t xml:space="preserve"> </w:t>
      </w:r>
      <w:r w:rsidR="00B14D0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podmiot upoważniony do ponoszenia wydatków na równi z beneficjentem, chyba że z treści tych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(Dz. U, z 201</w:t>
      </w:r>
      <w:r w:rsidR="00AF44A5">
        <w:rPr>
          <w:rFonts w:ascii="Arial" w:hAnsi="Arial"/>
        </w:rPr>
        <w:t>5</w:t>
      </w:r>
      <w:r w:rsidR="008B5852">
        <w:rPr>
          <w:rFonts w:ascii="Arial" w:hAnsi="Arial"/>
        </w:rPr>
        <w:t xml:space="preserve"> r. poz. </w:t>
      </w:r>
      <w:r w:rsidR="00AF44A5">
        <w:rPr>
          <w:rFonts w:ascii="Arial" w:hAnsi="Arial"/>
        </w:rPr>
        <w:t xml:space="preserve">121, </w:t>
      </w:r>
      <w:proofErr w:type="spellStart"/>
      <w:r w:rsidR="00AF44A5">
        <w:rPr>
          <w:rFonts w:ascii="Arial" w:hAnsi="Arial"/>
        </w:rPr>
        <w:t>t.j</w:t>
      </w:r>
      <w:proofErr w:type="spellEnd"/>
      <w:r w:rsidR="00AF44A5">
        <w:rPr>
          <w:rFonts w:ascii="Arial" w:hAnsi="Arial"/>
        </w:rPr>
        <w:t>.</w:t>
      </w:r>
      <w:r w:rsidR="008B5852">
        <w:rPr>
          <w:rFonts w:ascii="Arial" w:hAnsi="Arial"/>
        </w:rPr>
        <w:t>)</w:t>
      </w:r>
      <w:r w:rsidR="004A1A3D">
        <w:rPr>
          <w:rFonts w:ascii="Arial" w:hAnsi="Arial"/>
        </w:rPr>
        <w:t xml:space="preserve"> </w:t>
      </w:r>
      <w:r w:rsidRPr="00EF5BA8">
        <w:rPr>
          <w:rFonts w:ascii="Arial" w:hAnsi="Arial"/>
        </w:rPr>
        <w:t xml:space="preserve">oraz wolontariuszy wykonujących świadczenia na zasadach określonych w ustawie z dnia 24 kwietnia 2003 r. o działalności pożytku publicznego i o wolontariacie (Dz. U. z 2014 r. poz. 1118, z </w:t>
      </w:r>
      <w:proofErr w:type="spellStart"/>
      <w:r w:rsidRPr="00EF5BA8">
        <w:rPr>
          <w:rFonts w:ascii="Arial" w:hAnsi="Arial"/>
        </w:rPr>
        <w:t>późn</w:t>
      </w:r>
      <w:proofErr w:type="spellEnd"/>
      <w:r w:rsidRPr="00EF5BA8">
        <w:rPr>
          <w:rFonts w:ascii="Arial" w:hAnsi="Arial"/>
        </w:rPr>
        <w:t>. zm.),</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 xml:space="preserve">pomoc publiczna – pomoc objętą przepisami art. 107 ust.1 TFUE. Uznaje się, że do celów niniejszych Wytycznych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portal – portal internetowy, o którym mowa w art. 115 ust. 1 lit. b rozporządzenia ogólnego</w:t>
      </w:r>
      <w:r w:rsidR="00175527" w:rsidRPr="007E469E">
        <w:rPr>
          <w:rFonts w:ascii="Arial" w:hAnsi="Arial"/>
        </w:rPr>
        <w:t>, dostarczający informacje na temat wszystkich programów operacyjnych w Polsce,</w:t>
      </w:r>
      <w:r w:rsidRPr="007E469E">
        <w:rPr>
          <w:rFonts w:ascii="Arial" w:hAnsi="Arial"/>
        </w:rPr>
        <w:t xml:space="preserve"> prowadzony przez ministra właściwego do spraw rozwoju regionalnego</w:t>
      </w:r>
      <w:r w:rsidR="001E0F55" w:rsidRPr="007E469E">
        <w:rPr>
          <w:rFonts w:ascii="Arial" w:hAnsi="Arial"/>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 xml:space="preserve">na gruncie niniejszych </w:t>
      </w:r>
      <w:r w:rsidR="00013639" w:rsidRPr="00961AFC">
        <w:rPr>
          <w:rFonts w:ascii="Arial" w:hAnsi="Arial"/>
          <w:i/>
        </w:rPr>
        <w:t>Wytycznych</w:t>
      </w:r>
      <w:r w:rsidR="00AD29DB" w:rsidRPr="00576223">
        <w:rPr>
          <w:rFonts w:ascii="Arial" w:hAnsi="Arial"/>
          <w:i/>
        </w:rPr>
        <w:t xml:space="preserve"> programowych</w:t>
      </w:r>
      <w:r w:rsidR="00F155A0" w:rsidRPr="00576223">
        <w:rPr>
          <w:rFonts w:ascii="Arial" w:hAnsi="Arial"/>
        </w:rPr>
        <w:t xml:space="preserve">: rozporządzenie wydane przez właściwego ministra na podstawie delegacji ustawowej przewidzianej w art. 27 ust. 4 ustawy wdrożeniowej określające, zgodnie z przedmiotową delegacją – szczegółowe warunki i przeznaczenie pomocy publicznej lub pomocy de </w:t>
      </w:r>
      <w:proofErr w:type="spellStart"/>
      <w:r w:rsidR="00F155A0" w:rsidRPr="00576223">
        <w:rPr>
          <w:rFonts w:ascii="Arial" w:hAnsi="Arial"/>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projekt – projekt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w:t>
      </w:r>
      <w:r w:rsidR="0003137D">
        <w:rPr>
          <w:rFonts w:ascii="Arial" w:hAnsi="Arial"/>
        </w:rPr>
        <w:t xml:space="preserve">oznaczający </w:t>
      </w:r>
      <w:r w:rsidR="001D5656" w:rsidRPr="007E469E">
        <w:rPr>
          <w:rFonts w:ascii="Arial" w:hAnsi="Arial"/>
        </w:rPr>
        <w:t xml:space="preserve">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7548E0" w:rsidRDefault="007548E0" w:rsidP="008A69F7">
      <w:pPr>
        <w:numPr>
          <w:ilvl w:val="0"/>
          <w:numId w:val="13"/>
        </w:numPr>
        <w:spacing w:before="240" w:after="240" w:line="360" w:lineRule="auto"/>
        <w:contextualSpacing/>
        <w:jc w:val="both"/>
        <w:rPr>
          <w:rFonts w:ascii="Arial" w:hAnsi="Arial"/>
        </w:rPr>
      </w:pPr>
      <w:r w:rsidRPr="007548E0">
        <w:rPr>
          <w:rFonts w:ascii="Arial" w:hAnsi="Arial"/>
        </w:rPr>
        <w:t xml:space="preserve">projekt grantowy - </w:t>
      </w:r>
      <w:r w:rsidRPr="005476DC">
        <w:rPr>
          <w:rFonts w:ascii="Arial" w:hAnsi="Arial"/>
        </w:rPr>
        <w:t xml:space="preserve">projekt </w:t>
      </w:r>
      <w:r>
        <w:rPr>
          <w:rFonts w:ascii="Arial" w:hAnsi="Arial"/>
        </w:rPr>
        <w:t xml:space="preserve">w rozumieniu art. 35 ust. 2 ustawy wdrożeniowej, </w:t>
      </w:r>
      <w:r w:rsidRPr="005476DC">
        <w:rPr>
          <w:rFonts w:ascii="Arial" w:hAnsi="Arial"/>
        </w:rPr>
        <w:t>którego beneficjent udziela grantów na realizację</w:t>
      </w:r>
      <w:r w:rsidRPr="007548E0">
        <w:rPr>
          <w:rFonts w:ascii="Arial" w:hAnsi="Arial"/>
        </w:rPr>
        <w:t xml:space="preserve"> </w:t>
      </w:r>
      <w:r w:rsidRPr="005476DC">
        <w:rPr>
          <w:rFonts w:ascii="Arial" w:hAnsi="Arial"/>
        </w:rPr>
        <w:t xml:space="preserve">zadań służących osiągnięciu celu tego projektu przez </w:t>
      </w:r>
      <w:proofErr w:type="spellStart"/>
      <w:r w:rsidRPr="005476DC">
        <w:rPr>
          <w:rFonts w:ascii="Arial" w:hAnsi="Arial"/>
        </w:rPr>
        <w:t>grantobiorców</w:t>
      </w:r>
      <w:proofErr w:type="spellEnd"/>
      <w:r>
        <w:rPr>
          <w:rFonts w:ascii="Arial" w:hAnsi="Arial"/>
        </w:rPr>
        <w:t>;</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ozporządzenia KE 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 xml:space="preserve">tanowi podstawę do opracowywania programów pomocowych albo pomocy indywidualnej (w tym pomocy ad hoc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z późn.zm.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Pr="00250FF7" w:rsidRDefault="00F33CCF" w:rsidP="008A69F7">
      <w:pPr>
        <w:numPr>
          <w:ilvl w:val="0"/>
          <w:numId w:val="13"/>
        </w:numPr>
        <w:spacing w:after="0" w:line="360" w:lineRule="auto"/>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 Dz. U. </w:t>
      </w:r>
      <w:r w:rsidR="0005508B">
        <w:rPr>
          <w:rFonts w:ascii="Arial" w:hAnsi="Arial"/>
        </w:rPr>
        <w:t xml:space="preserve">z 2011 r., </w:t>
      </w:r>
      <w:r w:rsidRPr="00EF5BA8">
        <w:rPr>
          <w:rFonts w:ascii="Arial" w:hAnsi="Arial"/>
        </w:rPr>
        <w:t xml:space="preserve">Nr </w:t>
      </w:r>
      <w:r w:rsidR="0005508B">
        <w:rPr>
          <w:rFonts w:ascii="Arial" w:hAnsi="Arial"/>
        </w:rPr>
        <w:t>177</w:t>
      </w:r>
      <w:r w:rsidRPr="00EF5BA8">
        <w:rPr>
          <w:rFonts w:ascii="Arial" w:hAnsi="Arial"/>
        </w:rPr>
        <w:t xml:space="preserve"> poz. </w:t>
      </w:r>
      <w:r w:rsidR="0005508B">
        <w:rPr>
          <w:rFonts w:ascii="Arial" w:hAnsi="Arial"/>
        </w:rPr>
        <w:t>1054</w:t>
      </w:r>
      <w:r w:rsidRPr="00EF5BA8">
        <w:rPr>
          <w:rFonts w:ascii="Arial" w:hAnsi="Arial"/>
        </w:rPr>
        <w:t xml:space="preserve">, z </w:t>
      </w:r>
      <w:proofErr w:type="spellStart"/>
      <w:r w:rsidRPr="00EF5BA8">
        <w:rPr>
          <w:rFonts w:ascii="Arial" w:hAnsi="Arial"/>
        </w:rPr>
        <w:t>późn</w:t>
      </w:r>
      <w:proofErr w:type="spellEnd"/>
      <w:r w:rsidRPr="00EF5BA8">
        <w:rPr>
          <w:rFonts w:ascii="Arial" w:hAnsi="Arial"/>
        </w:rPr>
        <w:t>. zm.)</w:t>
      </w:r>
      <w:r>
        <w:rPr>
          <w:rFonts w:ascii="Arial" w:hAnsi="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(Dz. U. z 2013 r, poz. 907 z </w:t>
      </w:r>
      <w:proofErr w:type="spellStart"/>
      <w:r w:rsidRPr="007E469E">
        <w:rPr>
          <w:rFonts w:ascii="Arial" w:hAnsi="Arial" w:cs="Arial"/>
        </w:rPr>
        <w:t>późn</w:t>
      </w:r>
      <w:proofErr w:type="spellEnd"/>
      <w:r w:rsidRPr="007E469E">
        <w:rPr>
          <w:rFonts w:ascii="Arial" w:hAnsi="Arial" w:cs="Arial"/>
        </w:rPr>
        <w:t>. zm.);</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Pr>
          <w:rStyle w:val="Odwoanieprzypisudolnego"/>
          <w:rFonts w:ascii="Arial" w:hAnsi="Arial" w:cs="Arial"/>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Pr>
          <w:rStyle w:val="Odwoanieprzypisudolnego"/>
          <w:rFonts w:ascii="Arial" w:hAnsi="Arial" w:cs="Arial"/>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6C1F92" w:rsidRPr="007E469E"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740FCE" w:rsidRPr="007E469E">
        <w:rPr>
          <w:rFonts w:ascii="Arial" w:hAnsi="Arial" w:cs="Arial"/>
        </w:rPr>
        <w:t xml:space="preserve">ytyczne programowe – Wytyczne w zakresie kwalifikowania wydatków w </w:t>
      </w:r>
      <w:r w:rsidR="00ED5095" w:rsidRPr="007E469E">
        <w:rPr>
          <w:rFonts w:ascii="Arial" w:hAnsi="Arial" w:cs="Arial"/>
        </w:rPr>
        <w:t>Programie Operacyjnym Polska Cyfrowa 2014-2020</w:t>
      </w:r>
      <w:r w:rsidR="004425CF" w:rsidRPr="007E469E">
        <w:rPr>
          <w:rFonts w:ascii="Arial" w:hAnsi="Arial" w:cs="Arial"/>
        </w:rPr>
        <w:t>;</w:t>
      </w:r>
      <w:r w:rsidR="006C1F92" w:rsidRPr="007E469E" w:rsidDel="006C1F92">
        <w:rPr>
          <w:rFonts w:ascii="Arial" w:hAnsi="Arial" w:cs="Arial"/>
        </w:rPr>
        <w:t xml:space="preserve"> </w:t>
      </w:r>
    </w:p>
    <w:p w:rsidR="00544ABC" w:rsidRPr="00F21869" w:rsidRDefault="004425CF"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00772F3A" w:rsidRPr="00F21869">
        <w:rPr>
          <w:rFonts w:ascii="Arial" w:hAnsi="Arial" w:cs="Arial"/>
        </w:rPr>
        <w:t>ws</w:t>
      </w:r>
      <w:proofErr w:type="spellEnd"/>
      <w:r w:rsidR="00772F3A" w:rsidRPr="00F21869">
        <w:rPr>
          <w:rFonts w:ascii="Arial" w:hAnsi="Arial" w:cs="Arial"/>
        </w:rPr>
        <w:t>. Sieci szeroko</w:t>
      </w:r>
      <w:r w:rsidRPr="00F21869">
        <w:rPr>
          <w:rFonts w:ascii="Arial" w:hAnsi="Arial" w:cs="Arial"/>
        </w:rPr>
        <w:t>pasmow</w:t>
      </w:r>
      <w:r w:rsidR="00772F3A" w:rsidRPr="00F21869">
        <w:rPr>
          <w:rFonts w:ascii="Arial" w:hAnsi="Arial" w:cs="Arial"/>
        </w:rPr>
        <w:t>ych</w:t>
      </w:r>
      <w:r w:rsidRPr="00F21869">
        <w:rPr>
          <w:rFonts w:ascii="Arial" w:hAnsi="Arial" w:cs="Arial"/>
        </w:rPr>
        <w:t xml:space="preserve"> – </w:t>
      </w:r>
      <w:r w:rsidR="00FF1AB4" w:rsidRPr="00F21869">
        <w:rPr>
          <w:rFonts w:ascii="Arial" w:hAnsi="Arial" w:cs="Arial"/>
        </w:rPr>
        <w:t>Wytyczne</w:t>
      </w:r>
      <w:r w:rsidRPr="00F21869">
        <w:rPr>
          <w:rFonts w:ascii="Arial" w:hAnsi="Arial" w:cs="Arial"/>
        </w:rPr>
        <w:t xml:space="preserve"> </w:t>
      </w:r>
      <w:r w:rsidR="00FF1AB4" w:rsidRPr="00F21869">
        <w:rPr>
          <w:rFonts w:ascii="Arial" w:hAnsi="Arial" w:cs="Arial"/>
        </w:rPr>
        <w:t>UE w sprawie stosowania reguł pomocy państwa w odniesieniu do szybkiej budowy/rozbudowy sieci szerokopasmowych (</w:t>
      </w:r>
      <w:proofErr w:type="spellStart"/>
      <w:r w:rsidR="00544ABC" w:rsidRPr="00F21869">
        <w:rPr>
          <w:rFonts w:ascii="Arial" w:hAnsi="Arial" w:cs="Arial"/>
        </w:rPr>
        <w:t>Dz.Urz</w:t>
      </w:r>
      <w:proofErr w:type="spellEnd"/>
      <w:r w:rsidR="00544ABC" w:rsidRPr="00F21869">
        <w:rPr>
          <w:rFonts w:ascii="Arial" w:hAnsi="Arial" w:cs="Arial"/>
        </w:rPr>
        <w:t>. UE C z 25</w:t>
      </w:r>
      <w:r w:rsidR="00C141C2" w:rsidRPr="00F21869">
        <w:rPr>
          <w:rFonts w:ascii="Arial" w:hAnsi="Arial" w:cs="Arial"/>
        </w:rPr>
        <w:t>.01.</w:t>
      </w:r>
      <w:r w:rsidR="00544ABC" w:rsidRPr="00F21869">
        <w:rPr>
          <w:rFonts w:ascii="Arial" w:hAnsi="Arial" w:cs="Arial"/>
        </w:rPr>
        <w:t xml:space="preserve"> 2013 r.);</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692CC9" w:rsidRPr="00C401DF">
        <w:rPr>
          <w:rFonts w:ascii="Arial" w:hAnsi="Arial" w:cs="Arial"/>
        </w:rPr>
        <w:t xml:space="preserve">publiczne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odpłatną, zawartą 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673AE1" w:rsidRPr="00C401DF">
        <w:rPr>
          <w:rFonts w:ascii="Arial" w:hAnsi="Arial" w:cs="Arial"/>
        </w:rPr>
        <w:t> </w:t>
      </w:r>
      <w:r w:rsidR="00ED5095" w:rsidRPr="00C401DF">
        <w:rPr>
          <w:rFonts w:ascii="Arial" w:hAnsi="Arial" w:cs="Arial"/>
        </w:rPr>
        <w:t>PC</w:t>
      </w:r>
      <w:r w:rsidR="00B50613" w:rsidRPr="00C401DF">
        <w:rPr>
          <w:rFonts w:ascii="Arial" w:hAnsi="Arial" w:cs="Arial"/>
        </w:rPr>
        <w:t>.</w:t>
      </w:r>
      <w:r w:rsidR="0034735E" w:rsidRPr="00C401DF">
        <w:rPr>
          <w:rFonts w:ascii="Arial" w:hAnsi="Arial" w:cs="Arial"/>
        </w:rPr>
        <w:t xml:space="preserve"> </w:t>
      </w:r>
      <w:r w:rsidR="00961AFC" w:rsidRPr="00C401DF">
        <w:rPr>
          <w:rFonts w:ascii="Arial" w:hAnsi="Arial" w:cs="Arial"/>
        </w:rPr>
        <w:t xml:space="preserve">Dotyczy to zarówno umów o udzielenie zamówień zgodnie z ustawą </w:t>
      </w:r>
      <w:proofErr w:type="spellStart"/>
      <w:r w:rsidR="00961AFC" w:rsidRPr="00C401DF">
        <w:rPr>
          <w:rFonts w:ascii="Arial" w:hAnsi="Arial" w:cs="Arial"/>
        </w:rPr>
        <w:t>Pzp</w:t>
      </w:r>
      <w:proofErr w:type="spellEnd"/>
      <w:r w:rsidR="00B85808" w:rsidRPr="00C401DF">
        <w:rPr>
          <w:rFonts w:ascii="Arial" w:hAnsi="Arial" w:cs="Arial"/>
        </w:rPr>
        <w:t xml:space="preserve"> </w:t>
      </w:r>
      <w:r w:rsidR="00961AFC" w:rsidRPr="00C401DF">
        <w:rPr>
          <w:rFonts w:ascii="Arial" w:hAnsi="Arial" w:cs="Arial"/>
        </w:rPr>
        <w:t>jak i umów dotyczących zamówień udzielanych zgodnie z zasadą konkurencyjności, o której mowa w sekcji 4.</w:t>
      </w:r>
      <w:r w:rsidR="00533D0B" w:rsidRPr="00C401DF">
        <w:rPr>
          <w:rFonts w:ascii="Arial" w:hAnsi="Arial" w:cs="Arial"/>
        </w:rPr>
        <w:t>6</w:t>
      </w:r>
      <w:r w:rsidR="00961AFC" w:rsidRPr="00C401DF">
        <w:rPr>
          <w:rFonts w:ascii="Arial" w:hAnsi="Arial" w:cs="Arial"/>
        </w:rPr>
        <w:t xml:space="preserve"> </w:t>
      </w:r>
      <w:r w:rsidR="00284CBD" w:rsidRPr="00C401DF">
        <w:rPr>
          <w:rFonts w:ascii="Arial" w:hAnsi="Arial" w:cs="Arial"/>
          <w:i/>
        </w:rPr>
        <w:t>W</w:t>
      </w:r>
      <w:r w:rsidR="00961AFC" w:rsidRPr="00C401DF">
        <w:rPr>
          <w:rFonts w:ascii="Arial" w:hAnsi="Arial" w:cs="Arial"/>
          <w:i/>
        </w:rPr>
        <w:t>ytycznych programowych</w:t>
      </w:r>
      <w:r w:rsidR="00F66CE2">
        <w:rPr>
          <w:rFonts w:ascii="Arial" w:hAnsi="Arial" w:cs="Arial"/>
          <w:i/>
        </w:rPr>
        <w:t xml:space="preserve"> </w:t>
      </w:r>
      <w:r w:rsidR="00F66CE2" w:rsidRPr="005A373A">
        <w:rPr>
          <w:rFonts w:ascii="Arial" w:hAnsi="Arial" w:cs="Arial"/>
        </w:rPr>
        <w:t>oraz sekcji 6.5.3</w:t>
      </w:r>
      <w:r w:rsidR="00F66CE2">
        <w:rPr>
          <w:rFonts w:ascii="Arial" w:hAnsi="Arial" w:cs="Arial"/>
          <w:i/>
        </w:rPr>
        <w:t xml:space="preserve"> Wytycznych horyzontalnych</w:t>
      </w:r>
      <w:r w:rsidR="00315AD2" w:rsidRPr="00C401DF">
        <w:rPr>
          <w:rFonts w:ascii="Arial" w:hAnsi="Arial" w:cs="Arial"/>
          <w:i/>
        </w:rPr>
        <w:t>;</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a w przypadku przeprowadzenia procesu negocjacji w odniesieniu do danego projektu – zatwierdzona wersja wniosku po negocjacjach. 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6" w:name="_Toc384969091"/>
      <w:bookmarkStart w:id="17" w:name="_Toc428535181"/>
      <w:r w:rsidRPr="007E469E">
        <w:rPr>
          <w:rFonts w:ascii="Arial" w:hAnsi="Arial" w:cs="Arial"/>
          <w:color w:val="auto"/>
          <w:sz w:val="24"/>
          <w:szCs w:val="24"/>
        </w:rPr>
        <w:t xml:space="preserve">Rozdział - Cel, zakres regulacji oraz obowiązywanie </w:t>
      </w:r>
      <w:r w:rsidR="008318CC" w:rsidRPr="002A6E15">
        <w:rPr>
          <w:rFonts w:ascii="Arial" w:hAnsi="Arial" w:cs="Arial"/>
          <w:i/>
          <w:color w:val="auto"/>
          <w:sz w:val="24"/>
          <w:szCs w:val="24"/>
        </w:rPr>
        <w:t>W</w:t>
      </w:r>
      <w:r w:rsidRPr="002A6E15">
        <w:rPr>
          <w:rFonts w:ascii="Arial" w:hAnsi="Arial" w:cs="Arial"/>
          <w:i/>
          <w:color w:val="auto"/>
          <w:sz w:val="24"/>
          <w:szCs w:val="24"/>
        </w:rPr>
        <w:t>ytycznych</w:t>
      </w:r>
      <w:bookmarkEnd w:id="16"/>
      <w:r w:rsidR="008318CC" w:rsidRPr="002A6E15">
        <w:rPr>
          <w:rFonts w:ascii="Arial" w:hAnsi="Arial" w:cs="Arial"/>
          <w:i/>
          <w:color w:val="auto"/>
          <w:sz w:val="24"/>
          <w:szCs w:val="24"/>
        </w:rPr>
        <w:t xml:space="preserve"> programowych</w:t>
      </w:r>
      <w:bookmarkEnd w:id="17"/>
    </w:p>
    <w:p w:rsidR="00D05645" w:rsidRPr="007E469E"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Niniejsze </w:t>
      </w:r>
      <w:r w:rsidRPr="007E469E">
        <w:rPr>
          <w:rFonts w:ascii="Arial" w:eastAsia="Times New Roman" w:hAnsi="Arial" w:cs="Times New Roman"/>
          <w:i/>
          <w:szCs w:val="24"/>
          <w:lang w:eastAsia="pl-PL"/>
        </w:rPr>
        <w:t>Wytyczne</w:t>
      </w:r>
      <w:r w:rsidR="00F4208B" w:rsidRPr="007E469E">
        <w:rPr>
          <w:rFonts w:ascii="Arial" w:eastAsia="Times New Roman" w:hAnsi="Arial" w:cs="Times New Roman"/>
          <w:i/>
          <w:szCs w:val="24"/>
          <w:lang w:eastAsia="pl-PL"/>
        </w:rPr>
        <w:t xml:space="preserve"> programowe</w:t>
      </w:r>
      <w:r w:rsidRPr="007E469E">
        <w:rPr>
          <w:rFonts w:ascii="Arial" w:eastAsia="Times New Roman" w:hAnsi="Arial" w:cs="Times New Roman"/>
          <w:szCs w:val="24"/>
          <w:lang w:eastAsia="pl-PL"/>
        </w:rPr>
        <w:t xml:space="preserve"> dotyczą kwalifikowalności wydatków dla projektów współfinansowanych w ramach </w:t>
      </w:r>
      <w:r w:rsidR="00843FD5">
        <w:rPr>
          <w:rFonts w:ascii="Arial" w:eastAsia="Times New Roman" w:hAnsi="Arial" w:cs="Times New Roman"/>
          <w:szCs w:val="24"/>
          <w:lang w:eastAsia="pl-PL"/>
        </w:rPr>
        <w:t xml:space="preserve">II osi priorytetowej </w:t>
      </w:r>
      <w:r w:rsidR="00D86371" w:rsidRPr="007E469E">
        <w:rPr>
          <w:rFonts w:ascii="Arial" w:eastAsia="Times New Roman" w:hAnsi="Arial" w:cs="Times New Roman"/>
          <w:szCs w:val="24"/>
          <w:lang w:eastAsia="pl-PL"/>
        </w:rPr>
        <w:t>Programu</w:t>
      </w:r>
      <w:r w:rsidRPr="007E469E">
        <w:rPr>
          <w:rFonts w:ascii="Arial" w:eastAsia="Times New Roman" w:hAnsi="Arial" w:cs="Times New Roman"/>
          <w:szCs w:val="24"/>
          <w:lang w:eastAsia="pl-PL"/>
        </w:rPr>
        <w:t xml:space="preserve"> Operacyjnego Polska Cyfrowa 2014-2020</w:t>
      </w:r>
      <w:r w:rsidR="00AA40E5">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w:t>
      </w:r>
    </w:p>
    <w:p w:rsidR="00E678C0" w:rsidRPr="007E469E" w:rsidRDefault="00F510FD"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i/>
          <w:szCs w:val="24"/>
          <w:lang w:eastAsia="pl-PL"/>
        </w:rPr>
        <w:t>Wytyczne</w:t>
      </w:r>
      <w:r w:rsidR="00F4208B" w:rsidRPr="007E469E">
        <w:rPr>
          <w:rFonts w:ascii="Arial" w:eastAsia="Times New Roman" w:hAnsi="Arial" w:cs="Times New Roman"/>
          <w:i/>
          <w:szCs w:val="24"/>
          <w:lang w:eastAsia="pl-PL"/>
        </w:rPr>
        <w:t xml:space="preserve"> programowe</w:t>
      </w:r>
      <w:r w:rsidRPr="007E469E">
        <w:rPr>
          <w:rFonts w:ascii="Arial" w:eastAsia="Times New Roman" w:hAnsi="Arial" w:cs="Times New Roman"/>
          <w:szCs w:val="24"/>
          <w:lang w:eastAsia="pl-PL"/>
        </w:rPr>
        <w:t xml:space="preserve"> są zgodne z postanowieniami </w:t>
      </w:r>
      <w:r w:rsidR="00D2674D" w:rsidRPr="007E469E">
        <w:rPr>
          <w:rFonts w:ascii="Arial" w:eastAsia="Times New Roman" w:hAnsi="Arial" w:cs="Times New Roman"/>
          <w:i/>
          <w:szCs w:val="24"/>
          <w:lang w:eastAsia="pl-PL"/>
        </w:rPr>
        <w:t>Wytycznych</w:t>
      </w:r>
      <w:r w:rsidRPr="007E469E">
        <w:rPr>
          <w:rFonts w:ascii="Arial" w:eastAsia="Times New Roman" w:hAnsi="Arial" w:cs="Times New Roman"/>
          <w:i/>
          <w:szCs w:val="24"/>
          <w:lang w:eastAsia="pl-PL"/>
        </w:rPr>
        <w:t xml:space="preserve"> </w:t>
      </w:r>
      <w:r w:rsidR="00A75B72" w:rsidRPr="007E469E">
        <w:rPr>
          <w:rFonts w:ascii="Arial" w:eastAsia="Times New Roman" w:hAnsi="Arial" w:cs="Times New Roman"/>
          <w:i/>
          <w:szCs w:val="24"/>
          <w:lang w:eastAsia="pl-PL"/>
        </w:rPr>
        <w:t>horyzontalnych</w:t>
      </w:r>
      <w:r w:rsidR="00A75B72" w:rsidRPr="007E469E">
        <w:rPr>
          <w:rFonts w:ascii="Arial" w:eastAsia="Times New Roman" w:hAnsi="Arial" w:cs="Times New Roman"/>
          <w:szCs w:val="24"/>
          <w:lang w:eastAsia="pl-PL"/>
        </w:rPr>
        <w:t xml:space="preserve"> </w:t>
      </w:r>
      <w:r w:rsidR="00772F3A" w:rsidRPr="007E469E">
        <w:rPr>
          <w:rFonts w:ascii="Arial" w:eastAsia="Times New Roman" w:hAnsi="Arial" w:cs="Times New Roman"/>
          <w:szCs w:val="24"/>
          <w:lang w:eastAsia="pl-PL"/>
        </w:rPr>
        <w:t>oraz</w:t>
      </w:r>
      <w:r w:rsidRPr="007E469E">
        <w:rPr>
          <w:rFonts w:ascii="Arial" w:eastAsia="Times New Roman" w:hAnsi="Arial" w:cs="Times New Roman"/>
          <w:szCs w:val="24"/>
          <w:lang w:eastAsia="pl-PL"/>
        </w:rPr>
        <w:t xml:space="preserve"> stanowią ich uszczegółowienie </w:t>
      </w:r>
      <w:r w:rsidR="00772F3A" w:rsidRPr="007E469E">
        <w:rPr>
          <w:rFonts w:ascii="Arial" w:eastAsia="Times New Roman" w:hAnsi="Arial" w:cs="Times New Roman"/>
          <w:szCs w:val="24"/>
          <w:lang w:eastAsia="pl-PL"/>
        </w:rPr>
        <w:t xml:space="preserve">i uzupełnienie </w:t>
      </w:r>
      <w:r w:rsidRPr="007E469E">
        <w:rPr>
          <w:rFonts w:ascii="Arial" w:eastAsia="Times New Roman" w:hAnsi="Arial" w:cs="Times New Roman"/>
          <w:szCs w:val="24"/>
          <w:lang w:eastAsia="pl-PL"/>
        </w:rPr>
        <w:t xml:space="preserve">w zakresie, w jakim </w:t>
      </w:r>
      <w:r w:rsidR="002B01CE" w:rsidRPr="007E469E">
        <w:rPr>
          <w:rFonts w:ascii="Arial" w:eastAsia="Times New Roman" w:hAnsi="Arial" w:cs="Times New Roman"/>
          <w:szCs w:val="24"/>
          <w:lang w:eastAsia="pl-PL"/>
        </w:rPr>
        <w:t>IZ POPC</w:t>
      </w:r>
      <w:r w:rsidRPr="007E469E">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Pr>
          <w:rFonts w:ascii="Arial" w:eastAsia="Times New Roman" w:hAnsi="Arial" w:cs="Times New Roman"/>
          <w:szCs w:val="24"/>
          <w:lang w:eastAsia="pl-PL"/>
        </w:rPr>
        <w:t>O</w:t>
      </w:r>
      <w:r w:rsidR="00F9200B" w:rsidRPr="007E469E">
        <w:rPr>
          <w:rFonts w:ascii="Arial" w:eastAsia="Times New Roman" w:hAnsi="Arial" w:cs="Times New Roman"/>
          <w:szCs w:val="24"/>
          <w:lang w:eastAsia="pl-PL"/>
        </w:rPr>
        <w:t xml:space="preserve">znacza </w:t>
      </w:r>
      <w:r w:rsidR="00A23C4B">
        <w:rPr>
          <w:rFonts w:ascii="Arial" w:eastAsia="Times New Roman" w:hAnsi="Arial" w:cs="Times New Roman"/>
          <w:szCs w:val="24"/>
          <w:lang w:eastAsia="pl-PL"/>
        </w:rPr>
        <w:t>to</w:t>
      </w:r>
      <w:r w:rsidR="00A845B0" w:rsidRPr="007E469E">
        <w:rPr>
          <w:rFonts w:ascii="Arial" w:eastAsia="Times New Roman" w:hAnsi="Arial" w:cs="Times New Roman"/>
          <w:szCs w:val="24"/>
          <w:lang w:eastAsia="pl-PL"/>
        </w:rPr>
        <w:t>,</w:t>
      </w:r>
      <w:r w:rsidR="00F9200B" w:rsidRPr="007E469E">
        <w:rPr>
          <w:rFonts w:ascii="Arial" w:eastAsia="Times New Roman" w:hAnsi="Arial" w:cs="Times New Roman"/>
          <w:szCs w:val="24"/>
          <w:lang w:eastAsia="pl-PL"/>
        </w:rPr>
        <w:t xml:space="preserve"> że wyżej wymienione </w:t>
      </w:r>
      <w:r w:rsidR="00A265AD" w:rsidRPr="00923253">
        <w:rPr>
          <w:rFonts w:ascii="Arial" w:eastAsia="Times New Roman" w:hAnsi="Arial" w:cs="Times New Roman"/>
          <w:b/>
          <w:i/>
          <w:szCs w:val="24"/>
          <w:lang w:eastAsia="pl-PL"/>
        </w:rPr>
        <w:t>Wytyczne horyzontalne</w:t>
      </w:r>
      <w:r w:rsidR="00A265AD" w:rsidRPr="00923253">
        <w:rPr>
          <w:rFonts w:ascii="Arial" w:eastAsia="Times New Roman" w:hAnsi="Arial" w:cs="Times New Roman"/>
          <w:b/>
          <w:szCs w:val="24"/>
          <w:lang w:eastAsia="pl-PL"/>
        </w:rPr>
        <w:t xml:space="preserve"> i </w:t>
      </w:r>
      <w:r w:rsidR="00A265AD" w:rsidRPr="00923253">
        <w:rPr>
          <w:rFonts w:ascii="Arial" w:eastAsia="Times New Roman" w:hAnsi="Arial" w:cs="Times New Roman"/>
          <w:b/>
          <w:i/>
          <w:szCs w:val="24"/>
          <w:lang w:eastAsia="pl-PL"/>
        </w:rPr>
        <w:t>Wytyczne</w:t>
      </w:r>
      <w:r w:rsidR="007A48D6" w:rsidRPr="00923253">
        <w:rPr>
          <w:rFonts w:ascii="Arial" w:eastAsia="Times New Roman" w:hAnsi="Arial" w:cs="Times New Roman"/>
          <w:b/>
          <w:i/>
          <w:szCs w:val="24"/>
          <w:lang w:eastAsia="pl-PL"/>
        </w:rPr>
        <w:t xml:space="preserve"> programowe</w:t>
      </w:r>
      <w:r w:rsidR="00F9200B" w:rsidRPr="00923253">
        <w:rPr>
          <w:rFonts w:ascii="Arial" w:eastAsia="Times New Roman" w:hAnsi="Arial" w:cs="Times New Roman"/>
          <w:b/>
          <w:szCs w:val="24"/>
          <w:lang w:eastAsia="pl-PL"/>
        </w:rPr>
        <w:t xml:space="preserve"> są komplementarne i należy je stosować łącznie.</w:t>
      </w:r>
    </w:p>
    <w:p w:rsidR="00E678C0" w:rsidRPr="007E469E"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Zakres niniejszych </w:t>
      </w:r>
      <w:r w:rsidRPr="007E469E">
        <w:rPr>
          <w:rFonts w:ascii="Arial" w:eastAsia="Times New Roman" w:hAnsi="Arial" w:cs="Times New Roman"/>
          <w:i/>
          <w:szCs w:val="24"/>
          <w:lang w:eastAsia="pl-PL"/>
        </w:rPr>
        <w:t>Wytycznych</w:t>
      </w:r>
      <w:r w:rsidR="00F4208B" w:rsidRPr="007E469E">
        <w:rPr>
          <w:rFonts w:ascii="Arial" w:eastAsia="Times New Roman" w:hAnsi="Arial" w:cs="Times New Roman"/>
          <w:i/>
          <w:szCs w:val="24"/>
          <w:lang w:eastAsia="pl-PL"/>
        </w:rPr>
        <w:t xml:space="preserve"> programowych</w:t>
      </w:r>
      <w:r w:rsidRPr="007E469E">
        <w:rPr>
          <w:rFonts w:ascii="Arial" w:eastAsia="Times New Roman" w:hAnsi="Arial" w:cs="Times New Roman"/>
          <w:szCs w:val="24"/>
          <w:lang w:eastAsia="pl-PL"/>
        </w:rPr>
        <w:t xml:space="preserve"> został określony m.in. poprzez odwołanie się do odpowiednich zapisów w </w:t>
      </w:r>
      <w:r w:rsidRPr="007E469E">
        <w:rPr>
          <w:rFonts w:ascii="Arial" w:eastAsia="Times New Roman" w:hAnsi="Arial" w:cs="Times New Roman"/>
          <w:i/>
          <w:szCs w:val="24"/>
          <w:lang w:eastAsia="pl-PL"/>
        </w:rPr>
        <w:t>Wytycznych horyzontalnych</w:t>
      </w:r>
      <w:r w:rsidRPr="007E469E">
        <w:rPr>
          <w:rFonts w:ascii="Arial" w:eastAsia="Times New Roman" w:hAnsi="Arial" w:cs="Times New Roman"/>
          <w:szCs w:val="24"/>
          <w:lang w:eastAsia="pl-PL"/>
        </w:rPr>
        <w:t>, stanowiących delegację dla IZ POPC</w:t>
      </w:r>
      <w:r w:rsidR="008D204A">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 xml:space="preserve">do </w:t>
      </w:r>
      <w:r w:rsidR="0032038A" w:rsidRPr="007E469E">
        <w:rPr>
          <w:rFonts w:ascii="Arial" w:eastAsia="Times New Roman" w:hAnsi="Arial" w:cs="Times New Roman"/>
          <w:szCs w:val="24"/>
          <w:lang w:eastAsia="pl-PL"/>
        </w:rPr>
        <w:t>uregulowania bądź doprecyzowania</w:t>
      </w:r>
      <w:r w:rsidRPr="007E469E">
        <w:rPr>
          <w:rFonts w:ascii="Arial" w:eastAsia="Times New Roman" w:hAnsi="Arial" w:cs="Times New Roman"/>
          <w:szCs w:val="24"/>
          <w:lang w:eastAsia="pl-PL"/>
        </w:rPr>
        <w:t xml:space="preserve"> poszczególnych obszarów tematycznych w dokumentach programowych.</w:t>
      </w:r>
    </w:p>
    <w:p w:rsidR="00A265AD" w:rsidRPr="00614ECB"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614ECB">
        <w:rPr>
          <w:rFonts w:ascii="Arial" w:hAnsi="Arial" w:cs="Arial"/>
          <w:color w:val="000000"/>
        </w:rPr>
        <w:t xml:space="preserve">W przypadku projektów objętych zasadami pomocy publicznej w rozumieniu </w:t>
      </w:r>
      <w:r w:rsidR="009679E0">
        <w:rPr>
          <w:rFonts w:ascii="Arial" w:hAnsi="Arial" w:cs="Arial"/>
          <w:color w:val="000000"/>
        </w:rPr>
        <w:t xml:space="preserve">art. 107 </w:t>
      </w:r>
      <w:r w:rsidRPr="00614ECB">
        <w:rPr>
          <w:rFonts w:ascii="Arial" w:hAnsi="Arial" w:cs="Arial"/>
          <w:color w:val="000000"/>
        </w:rPr>
        <w:t xml:space="preserve">Traktatu o funkcjonowaniu Unii Europejskiej, za kwalifikowalne mogą być uznane tylko te wydatki, które spełniają łącznie warunki określone w </w:t>
      </w:r>
      <w:r w:rsidRPr="00AE0290">
        <w:rPr>
          <w:rFonts w:ascii="Arial" w:hAnsi="Arial" w:cs="Arial"/>
          <w:i/>
          <w:color w:val="000000"/>
        </w:rPr>
        <w:t>Wytycznych</w:t>
      </w:r>
      <w:r w:rsidR="008B1037" w:rsidRPr="00AE0290">
        <w:rPr>
          <w:rFonts w:ascii="Arial" w:hAnsi="Arial" w:cs="Arial"/>
          <w:i/>
          <w:color w:val="000000"/>
        </w:rPr>
        <w:t xml:space="preserve"> horyzontalnych </w:t>
      </w:r>
      <w:r w:rsidR="008B1037" w:rsidRPr="00AE0290">
        <w:rPr>
          <w:rFonts w:ascii="Arial" w:hAnsi="Arial" w:cs="Arial"/>
          <w:color w:val="000000"/>
        </w:rPr>
        <w:t xml:space="preserve">i </w:t>
      </w:r>
      <w:r w:rsidR="008B1037" w:rsidRPr="00614ECB">
        <w:rPr>
          <w:rFonts w:ascii="Arial" w:hAnsi="Arial" w:cs="Arial"/>
          <w:i/>
          <w:color w:val="000000"/>
        </w:rPr>
        <w:t>niniejszych Wytycznych</w:t>
      </w:r>
      <w:r w:rsidR="00F4208B" w:rsidRPr="00614ECB">
        <w:rPr>
          <w:rFonts w:ascii="Arial" w:hAnsi="Arial" w:cs="Arial"/>
          <w:i/>
          <w:color w:val="000000"/>
        </w:rPr>
        <w:t xml:space="preserve"> programowych</w:t>
      </w:r>
      <w:r w:rsidRPr="00614ECB">
        <w:rPr>
          <w:rFonts w:ascii="Arial" w:hAnsi="Arial" w:cs="Arial"/>
          <w:color w:val="000000"/>
        </w:rPr>
        <w:t xml:space="preserve"> i warunki wynikające z odpowiednich regulacji w zakresie pomocy publicznej, przyjętych na poziomie unijnym lub krajowym. Dla celów </w:t>
      </w:r>
      <w:r w:rsidRPr="00614ECB">
        <w:rPr>
          <w:rFonts w:ascii="Arial" w:hAnsi="Arial" w:cs="Arial"/>
          <w:i/>
          <w:color w:val="000000"/>
        </w:rPr>
        <w:t>Wytycznych</w:t>
      </w:r>
      <w:r w:rsidRPr="00614ECB">
        <w:rPr>
          <w:rFonts w:ascii="Arial" w:hAnsi="Arial" w:cs="Arial"/>
          <w:color w:val="000000"/>
        </w:rPr>
        <w:t xml:space="preserve"> uznaje się, że pomoc publiczna obejmuje także pomoc </w:t>
      </w:r>
      <w:r w:rsidRPr="00614ECB">
        <w:rPr>
          <w:rFonts w:ascii="Arial" w:hAnsi="Arial" w:cs="Arial"/>
          <w:i/>
          <w:color w:val="000000"/>
        </w:rPr>
        <w:t xml:space="preserve">de </w:t>
      </w:r>
      <w:proofErr w:type="spellStart"/>
      <w:r w:rsidRPr="00614ECB">
        <w:rPr>
          <w:rFonts w:ascii="Arial" w:hAnsi="Arial" w:cs="Arial"/>
          <w:i/>
          <w:color w:val="000000"/>
        </w:rPr>
        <w:t>minimis</w:t>
      </w:r>
      <w:proofErr w:type="spellEnd"/>
      <w:r w:rsidRPr="00614ECB">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przyznawanej przedsiębiorstwom wykonującym usługi świadczone w ogólnym interesie gospodarczym (Dz. Urz. UE L nr 114 z 26.04.2012 r., str. 8-13).</w:t>
      </w:r>
    </w:p>
    <w:p w:rsidR="00F510FD" w:rsidRPr="00AC0BF2"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Kategorie beneficjentów, którzy mogą ubiegać się o dofinansowanie w ramach </w:t>
      </w:r>
      <w:r w:rsidR="00843FD5">
        <w:rPr>
          <w:rFonts w:ascii="Arial" w:eastAsia="Times New Roman" w:hAnsi="Arial" w:cs="Times New Roman"/>
          <w:szCs w:val="24"/>
          <w:lang w:eastAsia="pl-PL"/>
        </w:rPr>
        <w:t xml:space="preserve">II osi priorytetowej </w:t>
      </w:r>
      <w:r w:rsidRPr="007E469E">
        <w:rPr>
          <w:rFonts w:ascii="Arial" w:eastAsia="Times New Roman" w:hAnsi="Arial" w:cs="Times New Roman"/>
          <w:szCs w:val="24"/>
          <w:lang w:eastAsia="pl-PL"/>
        </w:rPr>
        <w:t>POPC określa SZ</w:t>
      </w:r>
      <w:r w:rsidR="0069677D">
        <w:rPr>
          <w:rFonts w:ascii="Arial" w:eastAsia="Times New Roman" w:hAnsi="Arial" w:cs="Times New Roman"/>
          <w:szCs w:val="24"/>
          <w:lang w:eastAsia="pl-PL"/>
        </w:rPr>
        <w:t>O</w:t>
      </w:r>
      <w:r w:rsidRPr="007E469E">
        <w:rPr>
          <w:rFonts w:ascii="Arial" w:eastAsia="Times New Roman" w:hAnsi="Arial" w:cs="Times New Roman"/>
          <w:szCs w:val="24"/>
          <w:lang w:eastAsia="pl-PL"/>
        </w:rPr>
        <w:t>OP</w:t>
      </w:r>
      <w:r w:rsidRPr="007E469E">
        <w:rPr>
          <w:rFonts w:ascii="Arial" w:eastAsia="Times New Roman" w:hAnsi="Arial" w:cs="Times New Roman"/>
          <w:i/>
          <w:snapToGrid w:val="0"/>
          <w:szCs w:val="24"/>
          <w:lang w:eastAsia="pl-PL"/>
        </w:rPr>
        <w:t>.</w:t>
      </w:r>
    </w:p>
    <w:p w:rsidR="00F510FD" w:rsidRPr="007E469E" w:rsidRDefault="00214F83"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7E469E">
        <w:rPr>
          <w:rFonts w:ascii="Arial" w:eastAsia="Times New Roman" w:hAnsi="Arial" w:cs="Arial"/>
          <w:lang w:eastAsia="pl-PL"/>
        </w:rPr>
        <w:t xml:space="preserve">Przyjęcie </w:t>
      </w:r>
      <w:r w:rsidRPr="007E469E">
        <w:rPr>
          <w:rFonts w:ascii="Arial" w:eastAsia="Times New Roman" w:hAnsi="Arial" w:cs="Arial"/>
          <w:i/>
          <w:lang w:eastAsia="pl-PL"/>
        </w:rPr>
        <w:t>Wytycznych</w:t>
      </w:r>
      <w:r w:rsidR="00F4208B" w:rsidRPr="007E469E">
        <w:rPr>
          <w:rFonts w:ascii="Arial" w:eastAsia="Times New Roman" w:hAnsi="Arial" w:cs="Arial"/>
          <w:i/>
          <w:lang w:eastAsia="pl-PL"/>
        </w:rPr>
        <w:t xml:space="preserve"> programowych</w:t>
      </w:r>
      <w:r w:rsidRPr="007E469E">
        <w:rPr>
          <w:rFonts w:ascii="Arial" w:eastAsia="Times New Roman" w:hAnsi="Arial" w:cs="Arial"/>
          <w:lang w:eastAsia="pl-PL"/>
        </w:rPr>
        <w:t xml:space="preserve"> oraz w</w:t>
      </w:r>
      <w:r w:rsidR="00F510FD" w:rsidRPr="007E469E">
        <w:rPr>
          <w:rFonts w:ascii="Arial" w:eastAsia="Times New Roman" w:hAnsi="Arial" w:cs="Arial"/>
          <w:lang w:eastAsia="pl-PL"/>
        </w:rPr>
        <w:t xml:space="preserve">prowadzenie zmian w </w:t>
      </w:r>
      <w:r w:rsidRPr="007E469E">
        <w:rPr>
          <w:rFonts w:ascii="Arial" w:eastAsia="Times New Roman" w:hAnsi="Arial" w:cs="Arial"/>
          <w:lang w:eastAsia="pl-PL"/>
        </w:rPr>
        <w:t xml:space="preserve">ich </w:t>
      </w:r>
      <w:r w:rsidR="00F510FD" w:rsidRPr="007E469E">
        <w:rPr>
          <w:rFonts w:ascii="Arial" w:eastAsia="Times New Roman" w:hAnsi="Arial" w:cs="Arial"/>
          <w:lang w:eastAsia="pl-PL"/>
        </w:rPr>
        <w:t xml:space="preserve">zakresie </w:t>
      </w:r>
      <w:r w:rsidR="009737C0" w:rsidRPr="007E469E">
        <w:rPr>
          <w:rFonts w:ascii="Arial" w:eastAsia="Times New Roman" w:hAnsi="Arial" w:cs="Arial"/>
          <w:lang w:eastAsia="pl-PL"/>
        </w:rPr>
        <w:t xml:space="preserve">określa </w:t>
      </w:r>
      <w:r w:rsidR="00F510FD" w:rsidRPr="007E469E">
        <w:rPr>
          <w:rFonts w:ascii="Arial" w:eastAsia="Times New Roman" w:hAnsi="Arial" w:cs="Arial"/>
          <w:lang w:eastAsia="pl-PL"/>
        </w:rPr>
        <w:t xml:space="preserve"> </w:t>
      </w:r>
      <w:r w:rsidR="009737C0" w:rsidRPr="007E469E">
        <w:rPr>
          <w:rFonts w:ascii="Arial" w:eastAsia="Times New Roman" w:hAnsi="Arial" w:cs="Arial"/>
          <w:lang w:eastAsia="pl-PL"/>
        </w:rPr>
        <w:t>ustawa</w:t>
      </w:r>
      <w:r w:rsidR="001A1EA4" w:rsidRPr="007E469E">
        <w:rPr>
          <w:rFonts w:ascii="Arial" w:eastAsia="Times New Roman" w:hAnsi="Arial" w:cs="Arial"/>
          <w:lang w:eastAsia="pl-PL"/>
        </w:rPr>
        <w:t xml:space="preserve"> wdrożeniow</w:t>
      </w:r>
      <w:r w:rsidR="009737C0" w:rsidRPr="007E469E">
        <w:rPr>
          <w:rFonts w:ascii="Arial" w:eastAsia="Times New Roman" w:hAnsi="Arial" w:cs="Arial"/>
          <w:lang w:eastAsia="pl-PL"/>
        </w:rPr>
        <w:t>a</w:t>
      </w:r>
      <w:r w:rsidR="001A1EA4" w:rsidRPr="007E469E">
        <w:rPr>
          <w:rFonts w:ascii="Arial" w:eastAsia="Times New Roman" w:hAnsi="Arial" w:cs="Arial"/>
          <w:lang w:eastAsia="pl-PL"/>
        </w:rPr>
        <w:t xml:space="preserve">. </w:t>
      </w:r>
      <w:r w:rsidR="009737C0" w:rsidRPr="007E469E">
        <w:rPr>
          <w:rFonts w:ascii="Arial" w:eastAsia="Times New Roman" w:hAnsi="Arial" w:cs="Arial"/>
          <w:lang w:eastAsia="pl-PL"/>
        </w:rPr>
        <w:t xml:space="preserve">Szczegółowy tryb przyjmowania i wprowadzania zmian do </w:t>
      </w:r>
      <w:r w:rsidR="009737C0" w:rsidRPr="007E469E">
        <w:rPr>
          <w:rFonts w:ascii="Arial" w:eastAsia="Times New Roman" w:hAnsi="Arial" w:cs="Arial"/>
          <w:i/>
          <w:lang w:eastAsia="pl-PL"/>
        </w:rPr>
        <w:t>Wytycznych programowych</w:t>
      </w:r>
      <w:r w:rsidR="009737C0" w:rsidRPr="007E469E">
        <w:rPr>
          <w:rFonts w:ascii="Arial" w:eastAsia="Times New Roman" w:hAnsi="Arial" w:cs="Arial"/>
          <w:lang w:eastAsia="pl-PL"/>
        </w:rPr>
        <w:t xml:space="preserve"> </w:t>
      </w:r>
      <w:r w:rsidR="00267AA8" w:rsidRPr="007E469E">
        <w:rPr>
          <w:rFonts w:ascii="Arial" w:eastAsia="Times New Roman" w:hAnsi="Arial" w:cs="Arial"/>
          <w:lang w:eastAsia="pl-PL"/>
        </w:rPr>
        <w:t>określa</w:t>
      </w:r>
      <w:r w:rsidR="001A1EA4" w:rsidRPr="007E469E">
        <w:rPr>
          <w:rFonts w:ascii="Arial" w:eastAsia="Times New Roman" w:hAnsi="Arial" w:cs="Arial"/>
          <w:lang w:eastAsia="pl-PL"/>
        </w:rPr>
        <w:t xml:space="preserve"> </w:t>
      </w:r>
      <w:r w:rsidR="00F510FD" w:rsidRPr="007E469E">
        <w:rPr>
          <w:rFonts w:ascii="Arial" w:eastAsia="Times New Roman" w:hAnsi="Arial" w:cs="Arial"/>
          <w:lang w:eastAsia="pl-PL"/>
        </w:rPr>
        <w:t>zarządzeni</w:t>
      </w:r>
      <w:r w:rsidR="001A1EA4" w:rsidRPr="007E469E">
        <w:rPr>
          <w:rFonts w:ascii="Arial" w:eastAsia="Times New Roman" w:hAnsi="Arial" w:cs="Arial"/>
          <w:lang w:eastAsia="pl-PL"/>
        </w:rPr>
        <w:t>e</w:t>
      </w:r>
      <w:r w:rsidR="00F510FD" w:rsidRPr="007E469E">
        <w:rPr>
          <w:rFonts w:ascii="Arial" w:eastAsia="Times New Roman" w:hAnsi="Arial" w:cs="Arial"/>
          <w:lang w:eastAsia="pl-PL"/>
        </w:rPr>
        <w:t xml:space="preserve"> nr </w:t>
      </w:r>
      <w:r w:rsidR="002A00B2" w:rsidRPr="007E469E">
        <w:rPr>
          <w:rFonts w:ascii="Arial" w:eastAsia="Times New Roman" w:hAnsi="Arial" w:cs="Arial"/>
          <w:lang w:eastAsia="pl-PL"/>
        </w:rPr>
        <w:t xml:space="preserve">36 </w:t>
      </w:r>
      <w:r w:rsidR="00F510FD" w:rsidRPr="007E469E">
        <w:rPr>
          <w:rFonts w:ascii="Arial" w:eastAsia="Times New Roman" w:hAnsi="Arial" w:cs="Arial"/>
          <w:lang w:eastAsia="pl-PL"/>
        </w:rPr>
        <w:t xml:space="preserve">Dyrektora Generalnego Ministerstwa Infrastruktury i Rozwoju z dnia </w:t>
      </w:r>
      <w:r w:rsidR="002A00B2" w:rsidRPr="007E469E">
        <w:rPr>
          <w:rFonts w:ascii="Arial" w:eastAsia="Times New Roman" w:hAnsi="Arial" w:cs="Arial"/>
          <w:lang w:eastAsia="pl-PL"/>
        </w:rPr>
        <w:t xml:space="preserve">17 września </w:t>
      </w:r>
      <w:r w:rsidR="00F510FD" w:rsidRPr="007E469E">
        <w:rPr>
          <w:rFonts w:ascii="Arial" w:eastAsia="Times New Roman" w:hAnsi="Arial" w:cs="Arial"/>
          <w:lang w:eastAsia="pl-PL"/>
        </w:rPr>
        <w:t>2014 r. w sprawie trybu opracowywania, uzgadniania i podawania do publicznej wiadomości wytycznych ministra właściwego do spraw rozwoju regionalnego</w:t>
      </w:r>
      <w:r w:rsidR="00550C50" w:rsidRPr="007E469E">
        <w:rPr>
          <w:rFonts w:ascii="Arial" w:eastAsia="Times New Roman" w:hAnsi="Arial" w:cs="Arial"/>
          <w:lang w:eastAsia="pl-PL"/>
        </w:rPr>
        <w:t>.</w:t>
      </w:r>
    </w:p>
    <w:p w:rsidR="00A5669F" w:rsidRPr="007E469E" w:rsidRDefault="00686EA7" w:rsidP="0030426E">
      <w:pPr>
        <w:numPr>
          <w:ilvl w:val="0"/>
          <w:numId w:val="4"/>
        </w:numPr>
        <w:spacing w:before="120" w:after="120" w:line="360" w:lineRule="auto"/>
        <w:ind w:left="403" w:hanging="403"/>
        <w:jc w:val="both"/>
        <w:rPr>
          <w:rFonts w:ascii="Arial" w:hAnsi="Arial" w:cs="Arial"/>
        </w:rPr>
      </w:pPr>
      <w:r w:rsidRPr="007E469E">
        <w:rPr>
          <w:rFonts w:ascii="Arial" w:hAnsi="Arial" w:cs="Arial"/>
          <w:i/>
        </w:rPr>
        <w:t>Wytyczne</w:t>
      </w:r>
      <w:r w:rsidR="00F4208B" w:rsidRPr="007E469E">
        <w:rPr>
          <w:rFonts w:ascii="Arial" w:hAnsi="Arial" w:cs="Arial"/>
          <w:i/>
        </w:rPr>
        <w:t xml:space="preserve"> programowe</w:t>
      </w:r>
      <w:r w:rsidRPr="007E469E">
        <w:rPr>
          <w:rFonts w:ascii="Arial" w:hAnsi="Arial" w:cs="Arial"/>
        </w:rPr>
        <w:t xml:space="preserve"> obowiązują</w:t>
      </w:r>
      <w:r w:rsidR="00A5669F" w:rsidRPr="007E469E">
        <w:rPr>
          <w:rFonts w:ascii="Arial" w:hAnsi="Arial" w:cs="Arial"/>
        </w:rPr>
        <w:t xml:space="preserve"> od daty wskazanej </w:t>
      </w:r>
      <w:r w:rsidR="00843FD5">
        <w:rPr>
          <w:rFonts w:ascii="Arial" w:hAnsi="Arial" w:cs="Arial"/>
        </w:rPr>
        <w:t xml:space="preserve">w niniejszym dokumencie, a po zatwierdzeniu </w:t>
      </w:r>
      <w:r w:rsidR="00012E85" w:rsidRPr="00981286">
        <w:rPr>
          <w:rFonts w:ascii="Arial" w:hAnsi="Arial" w:cs="Arial"/>
          <w:i/>
        </w:rPr>
        <w:t>Wytycznych programowych</w:t>
      </w:r>
      <w:r w:rsidR="00843FD5">
        <w:rPr>
          <w:rFonts w:ascii="Arial" w:hAnsi="Arial" w:cs="Arial"/>
        </w:rPr>
        <w:t xml:space="preserve"> od daty wskazanej </w:t>
      </w:r>
      <w:r w:rsidR="00A5669F" w:rsidRPr="007E469E">
        <w:rPr>
          <w:rFonts w:ascii="Arial" w:hAnsi="Arial" w:cs="Arial"/>
        </w:rPr>
        <w:t xml:space="preserve">w komunikacie ministra właściwego ds. rozwoju regionalnego ogłoszonym w Dzienniku Urzędowym Rzeczypospolitej Polskiej „Monitor Polski”. </w:t>
      </w:r>
      <w:r w:rsidR="001C0494" w:rsidRPr="007E469E">
        <w:rPr>
          <w:rFonts w:ascii="Arial" w:hAnsi="Arial" w:cs="Arial"/>
        </w:rPr>
        <w:t>D</w:t>
      </w:r>
      <w:r w:rsidR="00A5669F" w:rsidRPr="007E469E">
        <w:rPr>
          <w:rFonts w:ascii="Arial" w:hAnsi="Arial" w:cs="Arial"/>
        </w:rPr>
        <w:t xml:space="preserve">ostosowanie </w:t>
      </w:r>
      <w:r w:rsidR="00455FA0">
        <w:rPr>
          <w:rFonts w:ascii="Arial" w:hAnsi="Arial" w:cs="Arial"/>
        </w:rPr>
        <w:t>postanowień</w:t>
      </w:r>
      <w:r w:rsidR="00455FA0" w:rsidRPr="007E469E">
        <w:rPr>
          <w:rFonts w:ascii="Arial" w:hAnsi="Arial" w:cs="Arial"/>
        </w:rPr>
        <w:t xml:space="preserve"> </w:t>
      </w:r>
      <w:r w:rsidR="00A5669F" w:rsidRPr="007E469E">
        <w:rPr>
          <w:rFonts w:ascii="Arial" w:hAnsi="Arial" w:cs="Arial"/>
          <w:i/>
        </w:rPr>
        <w:t>Wytycznych</w:t>
      </w:r>
      <w:r w:rsidR="00F4208B" w:rsidRPr="007E469E">
        <w:rPr>
          <w:rFonts w:ascii="Arial" w:hAnsi="Arial" w:cs="Arial"/>
          <w:i/>
        </w:rPr>
        <w:t xml:space="preserve"> programowych</w:t>
      </w:r>
      <w:r w:rsidR="00A5669F" w:rsidRPr="007E469E">
        <w:rPr>
          <w:rFonts w:ascii="Arial" w:hAnsi="Arial" w:cs="Arial"/>
        </w:rPr>
        <w:t xml:space="preserve"> do nowo wprowadzonych </w:t>
      </w:r>
      <w:r w:rsidR="00455FA0">
        <w:rPr>
          <w:rFonts w:ascii="Arial" w:hAnsi="Arial" w:cs="Arial"/>
        </w:rPr>
        <w:t>postanowień</w:t>
      </w:r>
      <w:r w:rsidR="00455FA0" w:rsidRPr="007E469E">
        <w:rPr>
          <w:rFonts w:ascii="Arial" w:hAnsi="Arial" w:cs="Arial"/>
        </w:rPr>
        <w:t xml:space="preserve"> </w:t>
      </w:r>
      <w:r w:rsidR="00A5669F" w:rsidRPr="007E469E">
        <w:rPr>
          <w:rFonts w:ascii="Arial" w:hAnsi="Arial" w:cs="Arial"/>
          <w:i/>
        </w:rPr>
        <w:t>Wytycznych</w:t>
      </w:r>
      <w:r w:rsidR="00A5669F" w:rsidRPr="007E469E">
        <w:rPr>
          <w:rFonts w:ascii="Arial" w:hAnsi="Arial" w:cs="Arial"/>
        </w:rPr>
        <w:t xml:space="preserve"> </w:t>
      </w:r>
      <w:r w:rsidR="00A5669F" w:rsidRPr="007E469E">
        <w:rPr>
          <w:rFonts w:ascii="Arial" w:hAnsi="Arial" w:cs="Arial"/>
          <w:i/>
        </w:rPr>
        <w:t>horyzontalnych</w:t>
      </w:r>
      <w:r w:rsidR="00A5669F" w:rsidRPr="007E469E">
        <w:rPr>
          <w:rFonts w:ascii="Arial" w:hAnsi="Arial" w:cs="Arial"/>
        </w:rPr>
        <w:t xml:space="preserve"> jest każdorazowo przeprowadzane przez IZ PO</w:t>
      </w:r>
      <w:r w:rsidR="0011664B" w:rsidRPr="007E469E">
        <w:rPr>
          <w:rFonts w:ascii="Arial" w:hAnsi="Arial" w:cs="Arial"/>
        </w:rPr>
        <w:t xml:space="preserve">PC </w:t>
      </w:r>
      <w:r w:rsidR="00A5669F" w:rsidRPr="007E469E">
        <w:rPr>
          <w:rFonts w:ascii="Arial" w:hAnsi="Arial" w:cs="Arial"/>
        </w:rPr>
        <w:t>w terminie 6 miesięcy od daty, o</w:t>
      </w:r>
      <w:r w:rsidR="001175BA" w:rsidRPr="007E469E">
        <w:rPr>
          <w:rFonts w:ascii="Arial" w:hAnsi="Arial" w:cs="Arial"/>
        </w:rPr>
        <w:t xml:space="preserve">d której obowiązuje nowa wersja </w:t>
      </w:r>
      <w:r w:rsidR="001175BA" w:rsidRPr="007E469E">
        <w:rPr>
          <w:rFonts w:ascii="Arial" w:hAnsi="Arial" w:cs="Arial"/>
          <w:i/>
        </w:rPr>
        <w:t>Wytycznych horyzontalnych</w:t>
      </w:r>
      <w:r w:rsidR="001175BA" w:rsidRPr="007E469E">
        <w:rPr>
          <w:rFonts w:ascii="Arial" w:hAnsi="Arial" w:cs="Arial"/>
        </w:rPr>
        <w:t>.</w:t>
      </w:r>
      <w:r w:rsidR="00A5669F" w:rsidRPr="007E469E">
        <w:rPr>
          <w:rFonts w:ascii="Arial" w:hAnsi="Arial" w:cs="Arial"/>
        </w:rPr>
        <w:t xml:space="preserve"> </w:t>
      </w:r>
    </w:p>
    <w:p w:rsidR="00D9767A" w:rsidRPr="00344A80"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7E469E">
        <w:rPr>
          <w:rFonts w:ascii="Arial" w:eastAsia="MS Mincho" w:hAnsi="Arial" w:cs="Arial"/>
          <w:lang w:eastAsia="ja-JP"/>
        </w:rPr>
        <w:t>Każdy podmiot</w:t>
      </w:r>
      <w:r w:rsidR="00185B94">
        <w:rPr>
          <w:rFonts w:ascii="Arial" w:eastAsia="MS Mincho" w:hAnsi="Arial" w:cs="Arial"/>
          <w:lang w:eastAsia="ja-JP"/>
        </w:rPr>
        <w:t xml:space="preserve"> </w:t>
      </w:r>
      <w:r w:rsidRPr="007E469E">
        <w:rPr>
          <w:rFonts w:ascii="Arial" w:eastAsia="MS Mincho" w:hAnsi="Arial" w:cs="Arial"/>
          <w:lang w:eastAsia="ja-JP"/>
        </w:rPr>
        <w:t xml:space="preserve">może zwrócić się na piśmie z prośbą o dokonanie indywidualnej interpretacji postanowień </w:t>
      </w:r>
      <w:r w:rsidRPr="007E469E">
        <w:rPr>
          <w:rFonts w:ascii="Arial" w:eastAsia="MS Mincho" w:hAnsi="Arial" w:cs="Arial"/>
          <w:i/>
          <w:lang w:eastAsia="ja-JP"/>
        </w:rPr>
        <w:t>Wytycznych</w:t>
      </w:r>
      <w:r w:rsidR="00F4208B" w:rsidRPr="007E469E">
        <w:rPr>
          <w:rFonts w:ascii="Arial" w:eastAsia="MS Mincho" w:hAnsi="Arial" w:cs="Arial"/>
          <w:i/>
          <w:lang w:eastAsia="ja-JP"/>
        </w:rPr>
        <w:t xml:space="preserve"> programowych</w:t>
      </w:r>
      <w:r w:rsidRPr="007E469E">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Pr>
          <w:rFonts w:ascii="Arial" w:eastAsia="MS Mincho" w:hAnsi="Arial" w:cs="Arial"/>
          <w:lang w:eastAsia="ja-JP"/>
        </w:rPr>
        <w:t>IP POPC</w:t>
      </w:r>
      <w:r w:rsidR="00032F2E">
        <w:rPr>
          <w:rFonts w:ascii="Arial" w:eastAsia="MS Mincho" w:hAnsi="Arial" w:cs="Arial"/>
          <w:lang w:eastAsia="ja-JP"/>
        </w:rPr>
        <w:t>.</w:t>
      </w:r>
      <w:r w:rsidR="00344A80">
        <w:rPr>
          <w:rFonts w:ascii="Arial" w:eastAsia="MS Mincho" w:hAnsi="Arial" w:cs="Arial"/>
          <w:lang w:eastAsia="ja-JP"/>
        </w:rPr>
        <w:t xml:space="preserve"> </w:t>
      </w:r>
      <w:r w:rsidRPr="007E469E">
        <w:rPr>
          <w:rFonts w:ascii="Arial" w:eastAsia="MS Mincho" w:hAnsi="Arial" w:cs="Arial"/>
          <w:lang w:eastAsia="ja-JP"/>
        </w:rPr>
        <w:t>W przypadku wątpliwości dotyczącej rozstrzygnięcia danej kwestii, przed udzieleniem odpowiedzi</w:t>
      </w:r>
      <w:r w:rsidR="00BF7E93" w:rsidRPr="007E469E">
        <w:rPr>
          <w:rFonts w:ascii="Arial" w:eastAsia="MS Mincho" w:hAnsi="Arial" w:cs="Arial"/>
          <w:lang w:eastAsia="ja-JP"/>
        </w:rPr>
        <w:t>,</w:t>
      </w:r>
      <w:r w:rsidRPr="007E469E">
        <w:rPr>
          <w:rFonts w:ascii="Arial" w:eastAsia="MS Mincho" w:hAnsi="Arial" w:cs="Arial"/>
          <w:lang w:eastAsia="ja-JP"/>
        </w:rPr>
        <w:t xml:space="preserve"> </w:t>
      </w:r>
      <w:r w:rsidR="00BF7E93" w:rsidRPr="00344A80">
        <w:rPr>
          <w:rFonts w:ascii="Arial" w:eastAsia="MS Mincho" w:hAnsi="Arial" w:cs="Arial"/>
          <w:lang w:eastAsia="ja-JP"/>
        </w:rPr>
        <w:t xml:space="preserve">IP POPC </w:t>
      </w:r>
      <w:r w:rsidRPr="009C3A3A">
        <w:rPr>
          <w:rFonts w:ascii="Arial" w:eastAsia="MS Mincho" w:hAnsi="Arial" w:cs="Arial"/>
          <w:lang w:eastAsia="ja-JP"/>
        </w:rPr>
        <w:t xml:space="preserve">powinna zwrócić się </w:t>
      </w:r>
      <w:r w:rsidR="006C586B" w:rsidRPr="009C3A3A">
        <w:rPr>
          <w:rFonts w:ascii="Arial" w:eastAsia="MS Mincho" w:hAnsi="Arial" w:cs="Arial"/>
          <w:lang w:eastAsia="ja-JP"/>
        </w:rPr>
        <w:t>do</w:t>
      </w:r>
      <w:r w:rsidRPr="009C3A3A">
        <w:rPr>
          <w:rFonts w:ascii="Arial" w:eastAsia="MS Mincho" w:hAnsi="Arial" w:cs="Arial"/>
          <w:lang w:eastAsia="ja-JP"/>
        </w:rPr>
        <w:t xml:space="preserve"> IZ POPC. </w:t>
      </w:r>
    </w:p>
    <w:p w:rsidR="00903FFD" w:rsidRPr="00C70C13"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D002C3">
        <w:rPr>
          <w:rFonts w:ascii="Arial" w:eastAsia="MS Mincho" w:hAnsi="Arial" w:cs="Arial"/>
          <w:lang w:eastAsia="ja-JP"/>
        </w:rPr>
        <w:t xml:space="preserve">Każdy podmiot </w:t>
      </w:r>
      <w:r w:rsidR="0066313B" w:rsidRPr="007E469E">
        <w:rPr>
          <w:rFonts w:ascii="Arial" w:eastAsia="MS Mincho" w:hAnsi="Arial" w:cs="Arial"/>
          <w:lang w:eastAsia="ja-JP"/>
        </w:rPr>
        <w:t xml:space="preserve">może zwrócić się bezpośrednio do IZ POPC jedynie w sytuacji, gdy nie zgadza się z interpretacją wydaną przez IP POPC, a IP </w:t>
      </w:r>
      <w:r w:rsidR="00866EDB" w:rsidRPr="007E469E">
        <w:rPr>
          <w:rFonts w:ascii="Arial" w:eastAsia="MS Mincho" w:hAnsi="Arial" w:cs="Arial"/>
          <w:lang w:eastAsia="ja-JP"/>
        </w:rPr>
        <w:t xml:space="preserve">POPC </w:t>
      </w:r>
      <w:r w:rsidR="0066313B" w:rsidRPr="007E469E">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7E469E">
        <w:rPr>
          <w:rFonts w:ascii="Arial" w:eastAsia="MS Mincho" w:hAnsi="Arial" w:cs="Arial"/>
          <w:lang w:eastAsia="ja-JP"/>
        </w:rPr>
        <w:t>.</w:t>
      </w:r>
      <w:bookmarkStart w:id="18" w:name="39"/>
      <w:bookmarkStart w:id="19" w:name="_Toc396130032"/>
      <w:bookmarkStart w:id="20" w:name="_Toc396130107"/>
      <w:bookmarkEnd w:id="18"/>
      <w:bookmarkEnd w:id="19"/>
      <w:bookmarkEnd w:id="20"/>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1" w:name="_Toc428535182"/>
      <w:r w:rsidRPr="007E469E">
        <w:rPr>
          <w:rFonts w:ascii="Arial" w:hAnsi="Arial" w:cs="Arial"/>
          <w:color w:val="auto"/>
          <w:sz w:val="24"/>
          <w:szCs w:val="24"/>
        </w:rPr>
        <w:t>Rozdział - Wspólne warunki i procedury w zakresie kwalifikowalności wydatków</w:t>
      </w:r>
      <w:bookmarkEnd w:id="21"/>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2" w:name="_Toc428535183"/>
      <w:r w:rsidRPr="007E469E">
        <w:rPr>
          <w:rFonts w:ascii="Arial" w:hAnsi="Arial" w:cs="Arial"/>
          <w:i/>
          <w:color w:val="auto"/>
          <w:sz w:val="24"/>
          <w:szCs w:val="24"/>
        </w:rPr>
        <w:t>Ocena kwalifikowalności wydatku.</w:t>
      </w:r>
      <w:bookmarkEnd w:id="22"/>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Pr="007E469E">
        <w:rPr>
          <w:rFonts w:ascii="Arial" w:hAnsi="Arial" w:cs="Arial"/>
          <w:i/>
        </w:rPr>
        <w:t>Wytycznych</w:t>
      </w:r>
      <w:r w:rsidR="007A48D6" w:rsidRPr="007E469E">
        <w:rPr>
          <w:rFonts w:ascii="Arial" w:hAnsi="Arial" w:cs="Arial"/>
          <w:i/>
        </w:rPr>
        <w:t xml:space="preserve"> programowych</w:t>
      </w:r>
      <w:r w:rsidRPr="007E469E">
        <w:rPr>
          <w:rFonts w:ascii="Arial" w:hAnsi="Arial" w:cs="Arial"/>
        </w:rPr>
        <w:t>.</w:t>
      </w:r>
    </w:p>
    <w:p w:rsidR="002D3F7E"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Ponoszone wydatki mogą</w:t>
      </w:r>
      <w:r w:rsidRPr="007E469E">
        <w:rPr>
          <w:rFonts w:ascii="Arial" w:eastAsia="Times New Roman" w:hAnsi="Arial" w:cs="Times New Roman"/>
          <w:szCs w:val="24"/>
          <w:lang w:eastAsia="pl-PL"/>
        </w:rPr>
        <w:t xml:space="preserve"> stanowić wydatek kwalifikowalny w ramach</w:t>
      </w:r>
      <w:r>
        <w:rPr>
          <w:rFonts w:ascii="Arial" w:eastAsia="Times New Roman" w:hAnsi="Arial" w:cs="Times New Roman"/>
          <w:szCs w:val="24"/>
          <w:lang w:eastAsia="pl-PL"/>
        </w:rPr>
        <w:t xml:space="preserve"> </w:t>
      </w:r>
      <w:r w:rsidR="008E2620">
        <w:rPr>
          <w:rFonts w:ascii="Arial" w:eastAsia="Times New Roman" w:hAnsi="Arial" w:cs="Times New Roman"/>
          <w:szCs w:val="24"/>
          <w:lang w:eastAsia="pl-PL"/>
        </w:rPr>
        <w:t xml:space="preserve">II osi priorytetowej </w:t>
      </w:r>
      <w:r>
        <w:rPr>
          <w:rFonts w:ascii="Arial" w:eastAsia="Times New Roman" w:hAnsi="Arial" w:cs="Times New Roman"/>
          <w:szCs w:val="24"/>
          <w:lang w:eastAsia="pl-PL"/>
        </w:rPr>
        <w:t>POPC, o ile mieszczą się w wykazach</w:t>
      </w:r>
      <w:r w:rsidRPr="007E469E">
        <w:rPr>
          <w:rFonts w:ascii="Arial" w:eastAsia="Times New Roman" w:hAnsi="Arial" w:cs="Times New Roman"/>
          <w:szCs w:val="24"/>
          <w:lang w:eastAsia="pl-PL"/>
        </w:rPr>
        <w:t xml:space="preserve"> wydatków kwalifikowalny</w:t>
      </w:r>
      <w:r>
        <w:rPr>
          <w:rFonts w:ascii="Arial" w:eastAsia="Times New Roman" w:hAnsi="Arial" w:cs="Times New Roman"/>
          <w:szCs w:val="24"/>
          <w:lang w:eastAsia="pl-PL"/>
        </w:rPr>
        <w:t xml:space="preserve">ch zamieszczonych w </w:t>
      </w:r>
      <w:r w:rsidRPr="00AC0BF2">
        <w:rPr>
          <w:rFonts w:ascii="Arial" w:eastAsia="Times New Roman" w:hAnsi="Arial" w:cs="Times New Roman"/>
          <w:i/>
          <w:szCs w:val="24"/>
          <w:lang w:eastAsia="pl-PL"/>
        </w:rPr>
        <w:t>Wytycznych programowych</w:t>
      </w:r>
      <w:r>
        <w:rPr>
          <w:rFonts w:ascii="Arial" w:eastAsia="Times New Roman" w:hAnsi="Arial" w:cs="Times New Roman"/>
          <w:szCs w:val="24"/>
          <w:lang w:eastAsia="pl-PL"/>
        </w:rPr>
        <w:t xml:space="preserve"> – w rozdzia</w:t>
      </w:r>
      <w:r w:rsidR="008E2620">
        <w:rPr>
          <w:rFonts w:ascii="Arial" w:eastAsia="Times New Roman" w:hAnsi="Arial" w:cs="Times New Roman"/>
          <w:szCs w:val="24"/>
          <w:lang w:eastAsia="pl-PL"/>
        </w:rPr>
        <w:t>le 5</w:t>
      </w:r>
      <w:r>
        <w:rPr>
          <w:rFonts w:ascii="Arial" w:eastAsia="Times New Roman" w:hAnsi="Arial" w:cs="Times New Roman"/>
          <w:szCs w:val="24"/>
          <w:lang w:eastAsia="pl-PL"/>
        </w:rPr>
        <w:t>.</w:t>
      </w:r>
      <w:r w:rsidR="002520B8">
        <w:rPr>
          <w:rFonts w:ascii="Arial" w:eastAsia="Times New Roman" w:hAnsi="Arial" w:cs="Times New Roman"/>
          <w:szCs w:val="24"/>
          <w:lang w:eastAsia="pl-PL"/>
        </w:rPr>
        <w:t xml:space="preserve"> </w:t>
      </w:r>
    </w:p>
    <w:p w:rsidR="00AC0BF2"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3" w:name="_Toc428535184"/>
      <w:r w:rsidRPr="007E469E">
        <w:rPr>
          <w:rFonts w:ascii="Arial" w:hAnsi="Arial" w:cs="Arial"/>
          <w:i/>
          <w:color w:val="auto"/>
          <w:sz w:val="24"/>
          <w:szCs w:val="24"/>
        </w:rPr>
        <w:t>Wydatki niekwalifikowalne</w:t>
      </w:r>
      <w:bookmarkEnd w:id="23"/>
    </w:p>
    <w:p w:rsidR="00903FFD" w:rsidRPr="007E469E" w:rsidRDefault="00903FFD" w:rsidP="00607A2C">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7E469E" w:rsidRDefault="00903FFD" w:rsidP="00607A2C">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również wszelkie wydatki niezgodne z </w:t>
      </w:r>
      <w:r w:rsidR="00F23948" w:rsidRPr="007E469E">
        <w:rPr>
          <w:rFonts w:ascii="Arial" w:hAnsi="Arial" w:cs="Arial"/>
        </w:rPr>
        <w:t xml:space="preserve">niniejszymi </w:t>
      </w:r>
      <w:r w:rsidRPr="007E469E">
        <w:rPr>
          <w:rFonts w:ascii="Arial" w:hAnsi="Arial" w:cs="Arial"/>
          <w:i/>
        </w:rPr>
        <w:t>Wytycznymi programowymi</w:t>
      </w:r>
      <w:r w:rsidRPr="007E469E">
        <w:rPr>
          <w:rFonts w:ascii="Arial" w:hAnsi="Arial" w:cs="Arial"/>
        </w:rPr>
        <w:t xml:space="preserve"> oraz wydatki wyłączone z kwalifikowalności poprzez odpowiednie zapisy</w:t>
      </w:r>
      <w:r w:rsidR="00CE07AA">
        <w:rPr>
          <w:rFonts w:ascii="Arial" w:hAnsi="Arial" w:cs="Arial"/>
        </w:rPr>
        <w:t xml:space="preserve"> niniejszych</w:t>
      </w:r>
      <w:r w:rsidRPr="007E469E">
        <w:rPr>
          <w:rFonts w:ascii="Arial" w:hAnsi="Arial" w:cs="Arial"/>
        </w:rPr>
        <w:t xml:space="preserve"> </w:t>
      </w:r>
      <w:r w:rsidRPr="00386929">
        <w:rPr>
          <w:rFonts w:ascii="Arial" w:hAnsi="Arial" w:cs="Arial"/>
          <w:i/>
        </w:rPr>
        <w:t>Wytycznych programowych</w:t>
      </w:r>
      <w:r w:rsidR="00386929" w:rsidRPr="00BA56A6">
        <w:rPr>
          <w:rFonts w:ascii="Arial" w:hAnsi="Arial" w:cs="Arial"/>
          <w:i/>
        </w:rPr>
        <w:t xml:space="preserve">, </w:t>
      </w:r>
      <w:r w:rsidR="00386929" w:rsidRPr="002A72AF">
        <w:rPr>
          <w:rFonts w:ascii="Arial" w:hAnsi="Arial" w:cs="Arial"/>
        </w:rPr>
        <w:t>Regulaminu konkursu</w:t>
      </w:r>
      <w:r w:rsidRPr="00BA56A6">
        <w:rPr>
          <w:rFonts w:ascii="Arial" w:hAnsi="Arial" w:cs="Arial"/>
        </w:rPr>
        <w:t xml:space="preserve"> lub</w:t>
      </w:r>
      <w:r w:rsidRPr="007E469E">
        <w:rPr>
          <w:rFonts w:ascii="Arial" w:hAnsi="Arial" w:cs="Arial"/>
        </w:rPr>
        <w:t xml:space="preserve"> umowy o dofinansowanie</w:t>
      </w:r>
      <w:r w:rsidR="00701B4A">
        <w:rPr>
          <w:rFonts w:ascii="Arial" w:hAnsi="Arial" w:cs="Arial"/>
        </w:rPr>
        <w:t xml:space="preserve"> projektu</w:t>
      </w:r>
      <w:r w:rsidRPr="007E469E">
        <w:rPr>
          <w:rFonts w:ascii="Arial" w:hAnsi="Arial" w:cs="Arial"/>
        </w:rPr>
        <w:t xml:space="preserve">. Listy wydatków wyłączonych przez IZ POPC z kwalifikowalności w ramach </w:t>
      </w:r>
      <w:r w:rsidR="008E2620">
        <w:rPr>
          <w:rFonts w:ascii="Arial" w:hAnsi="Arial" w:cs="Arial"/>
        </w:rPr>
        <w:t xml:space="preserve">II osi priorytetowej POPC </w:t>
      </w:r>
      <w:r w:rsidRPr="007E469E">
        <w:rPr>
          <w:rFonts w:ascii="Arial" w:hAnsi="Arial" w:cs="Arial"/>
        </w:rPr>
        <w:t xml:space="preserve">poprzez odpowiednie zapisy </w:t>
      </w:r>
      <w:r w:rsidRPr="007E469E">
        <w:rPr>
          <w:rFonts w:ascii="Arial" w:hAnsi="Arial" w:cs="Arial"/>
          <w:i/>
        </w:rPr>
        <w:t>Wytycznych programowych</w:t>
      </w:r>
      <w:r w:rsidRPr="007E469E">
        <w:rPr>
          <w:rFonts w:ascii="Arial" w:hAnsi="Arial" w:cs="Arial"/>
        </w:rPr>
        <w:t xml:space="preserve"> znajdują się w podrozdzia</w:t>
      </w:r>
      <w:r w:rsidR="008E2620">
        <w:rPr>
          <w:rFonts w:ascii="Arial" w:hAnsi="Arial" w:cs="Arial"/>
        </w:rPr>
        <w:t xml:space="preserve">le </w:t>
      </w:r>
      <w:r w:rsidR="001A59BB">
        <w:rPr>
          <w:rFonts w:ascii="Arial" w:hAnsi="Arial" w:cs="Arial"/>
        </w:rPr>
        <w:t>5</w:t>
      </w:r>
      <w:r w:rsidR="008E2620">
        <w:rPr>
          <w:rFonts w:ascii="Arial" w:hAnsi="Arial" w:cs="Arial"/>
        </w:rPr>
        <w:t>.3</w:t>
      </w:r>
      <w:r w:rsidR="007F3679">
        <w:rPr>
          <w:rFonts w:ascii="Arial" w:hAnsi="Arial" w:cs="Arial"/>
        </w:rPr>
        <w:t xml:space="preserve"> </w:t>
      </w:r>
      <w:r w:rsidRPr="007E469E">
        <w:rPr>
          <w:rFonts w:ascii="Arial" w:hAnsi="Arial" w:cs="Arial"/>
        </w:rPr>
        <w:t xml:space="preserve">niniejszych </w:t>
      </w:r>
      <w:r w:rsidRPr="007E469E">
        <w:rPr>
          <w:rFonts w:ascii="Arial" w:hAnsi="Arial" w:cs="Arial"/>
          <w:i/>
        </w:rPr>
        <w:t>Wytycznych</w:t>
      </w:r>
      <w:r w:rsidR="00AD29DB" w:rsidRPr="007E469E">
        <w:rPr>
          <w:rFonts w:ascii="Arial" w:hAnsi="Arial" w:cs="Arial"/>
          <w:i/>
        </w:rPr>
        <w:t xml:space="preserve"> </w:t>
      </w:r>
      <w:r w:rsidR="00AD29DB" w:rsidRPr="007E469E">
        <w:rPr>
          <w:rFonts w:ascii="Arial" w:hAnsi="Arial"/>
          <w:i/>
        </w:rPr>
        <w:t>programowych</w:t>
      </w:r>
      <w:r w:rsidRPr="007E469E">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4" w:name="_Toc428535185"/>
      <w:r w:rsidRPr="007E469E">
        <w:rPr>
          <w:rFonts w:ascii="Arial" w:hAnsi="Arial" w:cs="Arial"/>
          <w:i/>
          <w:color w:val="auto"/>
          <w:sz w:val="24"/>
          <w:szCs w:val="24"/>
        </w:rPr>
        <w:t>Zasada faktycznego poniesienia wydatku</w:t>
      </w:r>
      <w:bookmarkEnd w:id="24"/>
    </w:p>
    <w:p w:rsidR="00903FFD" w:rsidRPr="00E2113F" w:rsidRDefault="00903FFD" w:rsidP="008E2620">
      <w:pPr>
        <w:pStyle w:val="Akapitzlist"/>
        <w:numPr>
          <w:ilvl w:val="0"/>
          <w:numId w:val="19"/>
        </w:numPr>
        <w:spacing w:before="120" w:after="120" w:line="360" w:lineRule="auto"/>
        <w:ind w:hanging="357"/>
        <w:jc w:val="both"/>
        <w:rPr>
          <w:rFonts w:ascii="Arial" w:hAnsi="Arial" w:cs="Arial"/>
        </w:rPr>
      </w:pPr>
      <w:r w:rsidRPr="00791621">
        <w:rPr>
          <w:rFonts w:ascii="Arial" w:hAnsi="Arial" w:cs="Arial"/>
        </w:rPr>
        <w:t xml:space="preserve">Zasady faktycznego poniesienia wydatku zostały określone </w:t>
      </w:r>
      <w:r w:rsidR="00EA379B" w:rsidRPr="00791621">
        <w:rPr>
          <w:rFonts w:ascii="Arial" w:hAnsi="Arial" w:cs="Arial"/>
        </w:rPr>
        <w:t xml:space="preserve">w </w:t>
      </w:r>
      <w:r w:rsidRPr="00791621">
        <w:rPr>
          <w:rFonts w:ascii="Arial" w:hAnsi="Arial" w:cs="Arial"/>
          <w:i/>
        </w:rPr>
        <w:t>Wytycznych horyzontalnych</w:t>
      </w:r>
      <w:r w:rsidRPr="00791621">
        <w:rPr>
          <w:rFonts w:ascii="Arial" w:hAnsi="Arial" w:cs="Arial"/>
        </w:rPr>
        <w:t xml:space="preserve"> w podrozdziale 6.4 (Zasada faktycznego poniesienia wydatku) oraz w niniejszych </w:t>
      </w:r>
      <w:r w:rsidRPr="00E2113F">
        <w:rPr>
          <w:rFonts w:ascii="Arial" w:hAnsi="Arial" w:cs="Arial"/>
          <w:i/>
        </w:rPr>
        <w:t>Wytycznych</w:t>
      </w:r>
      <w:r w:rsidR="00AD29DB" w:rsidRPr="00E2113F">
        <w:rPr>
          <w:rFonts w:ascii="Arial" w:hAnsi="Arial" w:cs="Arial"/>
          <w:i/>
        </w:rPr>
        <w:t xml:space="preserve"> </w:t>
      </w:r>
      <w:r w:rsidR="00AD29DB" w:rsidRPr="00E2113F">
        <w:rPr>
          <w:rFonts w:ascii="Arial" w:hAnsi="Arial"/>
          <w:i/>
        </w:rPr>
        <w:t>programowych</w:t>
      </w:r>
      <w:r w:rsidRPr="00E2113F">
        <w:rPr>
          <w:rFonts w:ascii="Arial" w:hAnsi="Arial" w:cs="Arial"/>
        </w:rPr>
        <w:t>.</w:t>
      </w:r>
    </w:p>
    <w:p w:rsidR="00D11C3F" w:rsidRPr="00A555CE" w:rsidRDefault="00D11C3F" w:rsidP="008E2620">
      <w:pPr>
        <w:pStyle w:val="Akapitzlist"/>
        <w:numPr>
          <w:ilvl w:val="0"/>
          <w:numId w:val="19"/>
        </w:numPr>
        <w:spacing w:before="120" w:after="120" w:line="360" w:lineRule="auto"/>
        <w:ind w:hanging="357"/>
        <w:jc w:val="both"/>
        <w:rPr>
          <w:rFonts w:ascii="Arial" w:hAnsi="Arial" w:cs="Arial"/>
        </w:rPr>
      </w:pPr>
      <w:r w:rsidRPr="00E2113F">
        <w:rPr>
          <w:rFonts w:ascii="Arial" w:hAnsi="Arial" w:cs="Arial"/>
        </w:rPr>
        <w:t xml:space="preserve">W przypadku, gdy </w:t>
      </w:r>
      <w:r w:rsidRPr="003217B9">
        <w:rPr>
          <w:rFonts w:ascii="Arial" w:hAnsi="Arial" w:cs="Arial"/>
        </w:rPr>
        <w:t xml:space="preserve">przewiduje to </w:t>
      </w:r>
      <w:r w:rsidRPr="00A555CE">
        <w:rPr>
          <w:rFonts w:ascii="Arial" w:hAnsi="Arial" w:cs="Arial"/>
        </w:rPr>
        <w:t xml:space="preserve">system realizacji danego działania, określony w szczególności w umowie o dofinansowanie projektu, do </w:t>
      </w:r>
      <w:r w:rsidR="00AD16DB">
        <w:rPr>
          <w:rFonts w:ascii="Arial" w:hAnsi="Arial" w:cs="Arial"/>
        </w:rPr>
        <w:t xml:space="preserve">wydatków </w:t>
      </w:r>
      <w:r w:rsidRPr="00A555CE">
        <w:rPr>
          <w:rFonts w:ascii="Arial" w:hAnsi="Arial" w:cs="Arial"/>
        </w:rPr>
        <w:t xml:space="preserve">kwalifikowalnych projektu zalicza się </w:t>
      </w:r>
      <w:r w:rsidR="00AD16DB">
        <w:rPr>
          <w:rFonts w:ascii="Arial" w:hAnsi="Arial" w:cs="Arial"/>
        </w:rPr>
        <w:t>wydatki</w:t>
      </w:r>
      <w:r w:rsidRPr="00A555CE">
        <w:rPr>
          <w:rFonts w:ascii="Arial" w:hAnsi="Arial" w:cs="Arial"/>
        </w:rPr>
        <w:t xml:space="preserve"> ponoszone przez podmioty inne niż beneficjent</w:t>
      </w:r>
      <w:r w:rsidR="00B87ED7">
        <w:rPr>
          <w:rFonts w:ascii="Arial" w:hAnsi="Arial" w:cs="Arial"/>
        </w:rPr>
        <w:t xml:space="preserve"> lub </w:t>
      </w:r>
      <w:r w:rsidR="00F665EF" w:rsidRPr="00A555CE">
        <w:rPr>
          <w:rFonts w:ascii="Arial" w:hAnsi="Arial" w:cs="Arial"/>
        </w:rPr>
        <w:t xml:space="preserve">partner </w:t>
      </w:r>
      <w:r w:rsidR="00B87ED7">
        <w:rPr>
          <w:rFonts w:ascii="Arial" w:hAnsi="Arial" w:cs="Arial"/>
        </w:rPr>
        <w:t xml:space="preserve">wskazany jako </w:t>
      </w:r>
      <w:r w:rsidR="00F665EF" w:rsidRPr="00A555CE">
        <w:rPr>
          <w:rFonts w:ascii="Arial" w:hAnsi="Arial" w:cs="Arial"/>
        </w:rPr>
        <w:t>podmiot upoważniony</w:t>
      </w:r>
      <w:r w:rsidR="00B87ED7">
        <w:rPr>
          <w:rFonts w:ascii="Arial" w:hAnsi="Arial" w:cs="Arial"/>
        </w:rPr>
        <w:t xml:space="preserve"> do ponoszenia wydatków</w:t>
      </w:r>
      <w:r w:rsidRPr="00A555CE">
        <w:rPr>
          <w:rFonts w:ascii="Arial" w:hAnsi="Arial" w:cs="Arial"/>
        </w:rPr>
        <w:t xml:space="preserve">. </w:t>
      </w:r>
    </w:p>
    <w:p w:rsidR="00132869" w:rsidRPr="00791621" w:rsidRDefault="00132869" w:rsidP="00607A2C">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791621">
        <w:rPr>
          <w:rFonts w:ascii="Arial" w:hAnsi="Arial" w:cs="Arial"/>
        </w:rPr>
        <w:t xml:space="preserve"> Minimalny zakres takiej dokumentacji określa pkt 4.</w:t>
      </w:r>
    </w:p>
    <w:p w:rsidR="00132869" w:rsidRPr="00791621" w:rsidRDefault="00132869" w:rsidP="002F5514">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Wydatek faktycznie poniesiony </w:t>
      </w:r>
      <w:r w:rsidR="00791621">
        <w:rPr>
          <w:rFonts w:ascii="Arial" w:hAnsi="Arial" w:cs="Arial"/>
        </w:rPr>
        <w:t xml:space="preserve">przedkładany do rozliczenia </w:t>
      </w:r>
      <w:r w:rsidRPr="00791621">
        <w:rPr>
          <w:rFonts w:ascii="Arial" w:hAnsi="Arial" w:cs="Arial"/>
        </w:rPr>
        <w:t>powinien być poparty</w:t>
      </w:r>
      <w:r w:rsidR="00B14D05" w:rsidRPr="00791621">
        <w:rPr>
          <w:rFonts w:ascii="Arial" w:hAnsi="Arial" w:cs="Arial"/>
        </w:rPr>
        <w:t xml:space="preserve"> w szczególności</w:t>
      </w:r>
      <w:r w:rsidRPr="00791621">
        <w:rPr>
          <w:rFonts w:ascii="Arial" w:hAnsi="Arial" w:cs="Arial"/>
        </w:rPr>
        <w:t>:</w:t>
      </w:r>
    </w:p>
    <w:p w:rsidR="00132869" w:rsidRPr="00791621" w:rsidRDefault="00132869" w:rsidP="0091631C">
      <w:pPr>
        <w:pStyle w:val="Akapitzlist"/>
        <w:spacing w:before="120" w:after="120" w:line="360" w:lineRule="auto"/>
        <w:ind w:left="360" w:hanging="357"/>
        <w:jc w:val="both"/>
        <w:rPr>
          <w:rFonts w:ascii="Arial" w:hAnsi="Arial" w:cs="Arial"/>
        </w:rPr>
      </w:pPr>
      <w:r w:rsidRPr="00791621">
        <w:rPr>
          <w:rFonts w:ascii="Arial" w:hAnsi="Arial" w:cs="Arial"/>
        </w:rPr>
        <w:t>a) fakturą/rachunkiem z oznaczeniem zapłaty lub dokumentem księgowym o równoważnej wartości dowodowej</w:t>
      </w:r>
      <w:r w:rsidR="00C67786" w:rsidRPr="00791621">
        <w:rPr>
          <w:rFonts w:ascii="Arial" w:hAnsi="Arial" w:cs="Arial"/>
        </w:rPr>
        <w:t>,</w:t>
      </w:r>
      <w:r w:rsidRPr="00791621">
        <w:rPr>
          <w:rFonts w:ascii="Arial" w:hAnsi="Arial" w:cs="Arial"/>
        </w:rPr>
        <w:t xml:space="preserve"> </w:t>
      </w:r>
    </w:p>
    <w:p w:rsidR="00C65CDF" w:rsidRDefault="004D0C3C" w:rsidP="0091631C">
      <w:pPr>
        <w:pStyle w:val="Akapitzlist"/>
        <w:spacing w:before="120" w:after="120" w:line="360" w:lineRule="auto"/>
        <w:ind w:left="360" w:hanging="357"/>
        <w:jc w:val="both"/>
        <w:rPr>
          <w:rFonts w:ascii="Arial" w:hAnsi="Arial" w:cs="Arial"/>
        </w:rPr>
      </w:pPr>
      <w:r>
        <w:rPr>
          <w:rFonts w:ascii="Arial" w:hAnsi="Arial" w:cs="Arial"/>
        </w:rPr>
        <w:t xml:space="preserve">b) z zastrzeżeniem wyjątków wskazanych w rozdziale 6.4 pkt 2 </w:t>
      </w:r>
      <w:r w:rsidRPr="0091631C">
        <w:rPr>
          <w:rFonts w:ascii="Arial" w:hAnsi="Arial" w:cs="Arial"/>
          <w:i/>
        </w:rPr>
        <w:t>Wytycznych horyzontalnych,</w:t>
      </w:r>
      <w:r>
        <w:rPr>
          <w:rFonts w:ascii="Arial" w:hAnsi="Arial" w:cs="Arial"/>
        </w:rPr>
        <w:t xml:space="preserve"> </w:t>
      </w:r>
      <w:r w:rsidR="00132869" w:rsidRPr="00791621">
        <w:rPr>
          <w:rFonts w:ascii="Arial" w:hAnsi="Arial" w:cs="Arial"/>
        </w:rPr>
        <w:t xml:space="preserve">potwierdzeniem płatności na rzecz wykonawcy w postaci wyciągu z rachunku bankowego lub tzw. historii rachunku lub potwierdzenia dokonania (zrealizowania) przelewu lub dokumentów potwierdzających dokonanie płatności gotówką, o których mowa w pkt </w:t>
      </w:r>
      <w:r w:rsidR="00E03004" w:rsidRPr="00791621">
        <w:rPr>
          <w:rFonts w:ascii="Arial" w:hAnsi="Arial" w:cs="Arial"/>
        </w:rPr>
        <w:t>6</w:t>
      </w:r>
      <w:r w:rsidR="00132869" w:rsidRPr="00791621">
        <w:rPr>
          <w:rFonts w:ascii="Arial" w:hAnsi="Arial" w:cs="Arial"/>
        </w:rPr>
        <w:t>. Dowodem potwierdzającym poniesienie wydatku jest również wydrukowany wyciąg bankowy</w:t>
      </w:r>
      <w:r w:rsidR="00791621" w:rsidRPr="00791621">
        <w:rPr>
          <w:rFonts w:ascii="Arial" w:hAnsi="Arial" w:cs="Arial"/>
        </w:rPr>
        <w:t xml:space="preserve"> lub</w:t>
      </w:r>
      <w:r w:rsidR="00132869" w:rsidRPr="00791621">
        <w:rPr>
          <w:rFonts w:ascii="Arial" w:hAnsi="Arial" w:cs="Arial"/>
        </w:rPr>
        <w:t xml:space="preserve"> historia rachunku wygenerowana elektronicznie na podstawie art. 7 ustawy Prawo bankowe</w:t>
      </w:r>
      <w:r w:rsidR="00B176BD">
        <w:rPr>
          <w:rFonts w:ascii="Arial" w:hAnsi="Arial" w:cs="Arial"/>
        </w:rPr>
        <w:t xml:space="preserve"> (Dz. U. z </w:t>
      </w:r>
      <w:r>
        <w:rPr>
          <w:rFonts w:ascii="Arial" w:hAnsi="Arial" w:cs="Arial"/>
        </w:rPr>
        <w:t>2015</w:t>
      </w:r>
      <w:r w:rsidR="00B176BD">
        <w:rPr>
          <w:rFonts w:ascii="Arial" w:hAnsi="Arial" w:cs="Arial"/>
        </w:rPr>
        <w:t xml:space="preserve"> r. poz. </w:t>
      </w:r>
      <w:r>
        <w:rPr>
          <w:rFonts w:ascii="Arial" w:hAnsi="Arial" w:cs="Arial"/>
        </w:rPr>
        <w:t xml:space="preserve">128 </w:t>
      </w:r>
      <w:proofErr w:type="spellStart"/>
      <w:r>
        <w:rPr>
          <w:rFonts w:ascii="Arial" w:hAnsi="Arial" w:cs="Arial"/>
        </w:rPr>
        <w:t>t.j</w:t>
      </w:r>
      <w:proofErr w:type="spellEnd"/>
      <w:r>
        <w:rPr>
          <w:rFonts w:ascii="Arial" w:hAnsi="Arial" w:cs="Arial"/>
        </w:rPr>
        <w:t>.)</w:t>
      </w:r>
      <w:r w:rsidR="00132869" w:rsidRPr="00791621">
        <w:rPr>
          <w:rFonts w:ascii="Arial" w:hAnsi="Arial" w:cs="Arial"/>
        </w:rPr>
        <w:t>, któr</w:t>
      </w:r>
      <w:r w:rsidR="00791621" w:rsidRPr="00791621">
        <w:rPr>
          <w:rFonts w:ascii="Arial" w:hAnsi="Arial" w:cs="Arial"/>
        </w:rPr>
        <w:t>a</w:t>
      </w:r>
      <w:r w:rsidR="00132869" w:rsidRPr="00791621">
        <w:rPr>
          <w:rFonts w:ascii="Arial" w:hAnsi="Arial" w:cs="Arial"/>
        </w:rPr>
        <w:t xml:space="preserve"> nie wymaga podpisu ani stempla</w:t>
      </w:r>
      <w:r w:rsidR="00D64AA3">
        <w:rPr>
          <w:rFonts w:ascii="Arial" w:hAnsi="Arial" w:cs="Arial"/>
        </w:rPr>
        <w:t>. W</w:t>
      </w:r>
      <w:r>
        <w:rPr>
          <w:rFonts w:ascii="Arial" w:hAnsi="Arial" w:cs="Arial"/>
        </w:rPr>
        <w:t>arunkiem rozliczenia w</w:t>
      </w:r>
      <w:r w:rsidR="00D64AA3">
        <w:rPr>
          <w:rFonts w:ascii="Arial" w:hAnsi="Arial" w:cs="Arial"/>
        </w:rPr>
        <w:t>ydatk</w:t>
      </w:r>
      <w:r>
        <w:rPr>
          <w:rFonts w:ascii="Arial" w:hAnsi="Arial" w:cs="Arial"/>
        </w:rPr>
        <w:t>u</w:t>
      </w:r>
      <w:r w:rsidR="00D64AA3">
        <w:rPr>
          <w:rFonts w:ascii="Arial" w:hAnsi="Arial" w:cs="Arial"/>
        </w:rPr>
        <w:t xml:space="preserve"> jest </w:t>
      </w:r>
      <w:r w:rsidR="00C65CDF">
        <w:rPr>
          <w:rFonts w:ascii="Arial" w:hAnsi="Arial" w:cs="Arial"/>
        </w:rPr>
        <w:t>opłacenie</w:t>
      </w:r>
      <w:r>
        <w:rPr>
          <w:rFonts w:ascii="Arial" w:hAnsi="Arial" w:cs="Arial"/>
        </w:rPr>
        <w:t xml:space="preserve"> faktury </w:t>
      </w:r>
      <w:r w:rsidR="00C65CDF">
        <w:rPr>
          <w:rFonts w:ascii="Arial" w:hAnsi="Arial" w:cs="Arial"/>
        </w:rPr>
        <w:t>lub innego dokumentu księgowego o równoważnej wartości dowodowej w całości, tj. zarówno w części kwalifikowalnej jak i niekwalifikowalnej</w:t>
      </w:r>
      <w:r w:rsidR="00272054">
        <w:rPr>
          <w:rFonts w:ascii="Arial" w:hAnsi="Arial" w:cs="Arial"/>
        </w:rPr>
        <w:t>,</w:t>
      </w:r>
    </w:p>
    <w:p w:rsidR="00132869" w:rsidRDefault="00C65CDF" w:rsidP="0091631C">
      <w:pPr>
        <w:pStyle w:val="Akapitzlist"/>
        <w:spacing w:before="120" w:after="120" w:line="360" w:lineRule="auto"/>
        <w:ind w:left="360" w:hanging="357"/>
        <w:jc w:val="both"/>
        <w:rPr>
          <w:rFonts w:ascii="Arial" w:hAnsi="Arial" w:cs="Arial"/>
        </w:rPr>
      </w:pPr>
      <w:r>
        <w:rPr>
          <w:rFonts w:ascii="Arial" w:hAnsi="Arial" w:cs="Arial"/>
        </w:rPr>
        <w:t xml:space="preserve">c) </w:t>
      </w:r>
      <w:r w:rsidR="00272054">
        <w:rPr>
          <w:rFonts w:ascii="Arial" w:hAnsi="Arial" w:cs="Arial"/>
        </w:rPr>
        <w:t>umową, porozumieniem lub innym dokumentem potwierdzającym wzajemne zobowiązanie stron związane z realizacją dostaw, usług lub robót budowlanych,</w:t>
      </w:r>
    </w:p>
    <w:p w:rsidR="00646752" w:rsidRDefault="00646752" w:rsidP="0091631C">
      <w:pPr>
        <w:pStyle w:val="Akapitzlist"/>
        <w:spacing w:before="120" w:after="120" w:line="360" w:lineRule="auto"/>
        <w:ind w:left="360" w:hanging="357"/>
        <w:jc w:val="both"/>
        <w:rPr>
          <w:rFonts w:ascii="Arial" w:hAnsi="Arial" w:cs="Arial"/>
        </w:rPr>
      </w:pPr>
      <w:r>
        <w:rPr>
          <w:rFonts w:ascii="Arial" w:hAnsi="Arial" w:cs="Arial"/>
        </w:rPr>
        <w:t xml:space="preserve">d) kopiami protokołów odbioru dokumentujących wykonanie robót, dostaw, usług lub innych dokumentów potwierdzających spełnienie świadczenia pomiędzy stronami </w:t>
      </w:r>
      <w:r w:rsidR="00A15602">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Default="00A15602" w:rsidP="0091631C">
      <w:pPr>
        <w:pStyle w:val="Akapitzlist"/>
        <w:spacing w:before="120" w:after="120" w:line="360" w:lineRule="auto"/>
        <w:ind w:left="360" w:hanging="357"/>
        <w:jc w:val="both"/>
        <w:rPr>
          <w:rFonts w:ascii="Arial" w:hAnsi="Arial" w:cs="Arial"/>
        </w:rPr>
      </w:pPr>
      <w:r>
        <w:rPr>
          <w:rFonts w:ascii="Arial" w:hAnsi="Arial" w:cs="Arial"/>
        </w:rPr>
        <w:t>e) w przypadku środków trwałych i robót</w:t>
      </w:r>
      <w:r w:rsidR="00CB0A52">
        <w:rPr>
          <w:rFonts w:ascii="Arial" w:hAnsi="Arial" w:cs="Arial"/>
        </w:rPr>
        <w:t xml:space="preserve"> budowlanych, poza wskazanymi w lit. a) - d):</w:t>
      </w:r>
    </w:p>
    <w:p w:rsidR="00132869" w:rsidRPr="00791621" w:rsidRDefault="00132869" w:rsidP="0091631C">
      <w:pPr>
        <w:pStyle w:val="Akapitzlist"/>
        <w:numPr>
          <w:ilvl w:val="1"/>
          <w:numId w:val="40"/>
        </w:numPr>
        <w:spacing w:before="120" w:after="120" w:line="360" w:lineRule="auto"/>
        <w:jc w:val="both"/>
        <w:rPr>
          <w:rFonts w:ascii="Arial" w:hAnsi="Arial" w:cs="Arial"/>
        </w:rPr>
      </w:pPr>
      <w:r w:rsidRPr="00791621">
        <w:rPr>
          <w:rFonts w:ascii="Arial" w:hAnsi="Arial" w:cs="Arial"/>
        </w:rPr>
        <w:t xml:space="preserve">dokumentem przyjęcia środka trwałego </w:t>
      </w:r>
      <w:r w:rsidR="00080A0C">
        <w:rPr>
          <w:rFonts w:ascii="Arial" w:hAnsi="Arial" w:cs="Arial"/>
        </w:rPr>
        <w:t xml:space="preserve">oraz wartości niematerialnych i prawnych </w:t>
      </w:r>
      <w:r w:rsidRPr="00791621">
        <w:rPr>
          <w:rFonts w:ascii="Arial" w:hAnsi="Arial" w:cs="Arial"/>
        </w:rPr>
        <w:t>(OT)</w:t>
      </w:r>
      <w:r w:rsidR="00CB0A52">
        <w:rPr>
          <w:rFonts w:ascii="Arial" w:hAnsi="Arial" w:cs="Arial"/>
        </w:rPr>
        <w:t>,</w:t>
      </w:r>
      <w:r w:rsidR="00080A0C">
        <w:rPr>
          <w:rFonts w:ascii="Arial" w:hAnsi="Arial" w:cs="Arial"/>
        </w:rPr>
        <w:t xml:space="preserve"> </w:t>
      </w:r>
      <w:r w:rsidR="00AA0D56" w:rsidRPr="00791621">
        <w:rPr>
          <w:rFonts w:ascii="Arial" w:hAnsi="Arial" w:cs="Arial"/>
        </w:rPr>
        <w:t>(jeśli dotyczy)</w:t>
      </w:r>
      <w:r w:rsidR="00C67786" w:rsidRPr="00791621">
        <w:rPr>
          <w:rFonts w:ascii="Arial" w:hAnsi="Arial" w:cs="Arial"/>
        </w:rPr>
        <w:t>,</w:t>
      </w:r>
    </w:p>
    <w:p w:rsidR="00103AA7" w:rsidRPr="00CB0A52" w:rsidRDefault="00CB0A52" w:rsidP="0091631C">
      <w:pPr>
        <w:pStyle w:val="Akapitzlist"/>
        <w:numPr>
          <w:ilvl w:val="1"/>
          <w:numId w:val="40"/>
        </w:numPr>
        <w:spacing w:before="120" w:after="120" w:line="360" w:lineRule="auto"/>
        <w:jc w:val="both"/>
        <w:rPr>
          <w:rFonts w:ascii="Arial" w:hAnsi="Arial" w:cs="Arial"/>
        </w:rPr>
      </w:pPr>
      <w:r w:rsidRPr="00CB0A52">
        <w:rPr>
          <w:rFonts w:ascii="Arial" w:hAnsi="Arial" w:cs="Arial"/>
        </w:rPr>
        <w:t xml:space="preserve">w przypadku zakupu nowego środka trwałego należy udokumentować fakt, </w:t>
      </w:r>
      <w:r w:rsidR="00103AA7" w:rsidRPr="00CB0A52">
        <w:rPr>
          <w:rFonts w:ascii="Arial" w:hAnsi="Arial" w:cs="Arial"/>
        </w:rPr>
        <w:t>że środek ten jest fabrycznie nowy. Warunek ten jest spełniony</w:t>
      </w:r>
      <w:r w:rsidR="007A523D" w:rsidRPr="00CB0A52">
        <w:rPr>
          <w:rFonts w:ascii="Arial" w:hAnsi="Arial" w:cs="Arial"/>
        </w:rPr>
        <w:t xml:space="preserve">, </w:t>
      </w:r>
      <w:r w:rsidR="00103AA7" w:rsidRPr="00CB0A52">
        <w:rPr>
          <w:rFonts w:ascii="Arial" w:hAnsi="Arial" w:cs="Arial"/>
        </w:rPr>
        <w:t>gdy</w:t>
      </w:r>
      <w:r w:rsidR="008F0E09" w:rsidRPr="00CB0A52">
        <w:rPr>
          <w:rFonts w:ascii="Arial" w:hAnsi="Arial" w:cs="Arial"/>
        </w:rPr>
        <w:t xml:space="preserve"> zastosowane zostanie jedno z poniższych rozwiązań</w:t>
      </w:r>
      <w:r w:rsidR="00103AA7" w:rsidRPr="00CB0A52">
        <w:rPr>
          <w:rFonts w:ascii="Arial" w:hAnsi="Arial" w:cs="Arial"/>
        </w:rPr>
        <w:t>:</w:t>
      </w:r>
    </w:p>
    <w:p w:rsidR="00103AA7" w:rsidRDefault="00103AA7" w:rsidP="0091631C">
      <w:pPr>
        <w:pStyle w:val="Akapitzlist"/>
        <w:spacing w:before="120" w:after="120" w:line="360" w:lineRule="auto"/>
        <w:jc w:val="both"/>
        <w:rPr>
          <w:rFonts w:ascii="Arial" w:hAnsi="Arial" w:cs="Arial"/>
        </w:rPr>
      </w:pPr>
      <w:r>
        <w:rPr>
          <w:rFonts w:ascii="Arial" w:hAnsi="Arial" w:cs="Arial"/>
        </w:rPr>
        <w:t xml:space="preserve">- </w:t>
      </w:r>
      <w:r w:rsidR="00336ADA">
        <w:rPr>
          <w:rFonts w:ascii="Arial" w:hAnsi="Arial" w:cs="Arial"/>
        </w:rPr>
        <w:t xml:space="preserve">umowa podpisana z dostawcą </w:t>
      </w:r>
      <w:r>
        <w:rPr>
          <w:rFonts w:ascii="Arial" w:hAnsi="Arial" w:cs="Arial"/>
        </w:rPr>
        <w:t xml:space="preserve">tego </w:t>
      </w:r>
      <w:r w:rsidR="00336ADA">
        <w:rPr>
          <w:rFonts w:ascii="Arial" w:hAnsi="Arial" w:cs="Arial"/>
        </w:rPr>
        <w:t xml:space="preserve">środka </w:t>
      </w:r>
      <w:r w:rsidR="008F0E09">
        <w:rPr>
          <w:rFonts w:ascii="Arial" w:hAnsi="Arial" w:cs="Arial"/>
        </w:rPr>
        <w:t xml:space="preserve">trwałego </w:t>
      </w:r>
      <w:r w:rsidR="00336ADA">
        <w:rPr>
          <w:rFonts w:ascii="Arial" w:hAnsi="Arial" w:cs="Arial"/>
        </w:rPr>
        <w:t xml:space="preserve">zawiera zapis </w:t>
      </w:r>
      <w:r w:rsidR="007A523D" w:rsidRPr="007A523D">
        <w:rPr>
          <w:rFonts w:ascii="Arial" w:hAnsi="Arial" w:cs="Arial"/>
        </w:rPr>
        <w:t>jednoznacznie wskazujący, że nabywany środek trwały jest fabrycznie nowy</w:t>
      </w:r>
      <w:r>
        <w:rPr>
          <w:rFonts w:ascii="Arial" w:hAnsi="Arial" w:cs="Arial"/>
        </w:rPr>
        <w:t>,</w:t>
      </w:r>
    </w:p>
    <w:p w:rsidR="000D309A" w:rsidRDefault="00103AA7" w:rsidP="0091631C">
      <w:pPr>
        <w:pStyle w:val="Akapitzlist"/>
        <w:spacing w:before="120" w:after="120" w:line="360" w:lineRule="auto"/>
        <w:jc w:val="both"/>
        <w:rPr>
          <w:rFonts w:ascii="Arial" w:hAnsi="Arial" w:cs="Arial"/>
        </w:rPr>
      </w:pPr>
      <w:r>
        <w:rPr>
          <w:rFonts w:ascii="Arial" w:hAnsi="Arial" w:cs="Arial"/>
        </w:rPr>
        <w:t>-</w:t>
      </w:r>
      <w:r w:rsidR="008F0E09">
        <w:rPr>
          <w:rFonts w:ascii="Arial" w:hAnsi="Arial" w:cs="Arial"/>
        </w:rPr>
        <w:t xml:space="preserve"> </w:t>
      </w:r>
      <w:r>
        <w:rPr>
          <w:rFonts w:ascii="Arial" w:hAnsi="Arial" w:cs="Arial"/>
        </w:rPr>
        <w:t xml:space="preserve">do dokumentacji </w:t>
      </w:r>
      <w:r w:rsidR="00336ADA">
        <w:rPr>
          <w:rFonts w:ascii="Arial" w:hAnsi="Arial" w:cs="Arial"/>
        </w:rPr>
        <w:t>dołącz</w:t>
      </w:r>
      <w:r w:rsidR="008F0E09">
        <w:rPr>
          <w:rFonts w:ascii="Arial" w:hAnsi="Arial" w:cs="Arial"/>
        </w:rPr>
        <w:t>ono</w:t>
      </w:r>
      <w:r w:rsidR="00336ADA">
        <w:rPr>
          <w:rFonts w:ascii="Arial" w:hAnsi="Arial" w:cs="Arial"/>
        </w:rPr>
        <w:t xml:space="preserve"> oświadczeni</w:t>
      </w:r>
      <w:r>
        <w:rPr>
          <w:rFonts w:ascii="Arial" w:hAnsi="Arial" w:cs="Arial"/>
        </w:rPr>
        <w:t>e</w:t>
      </w:r>
      <w:r w:rsidR="00336ADA">
        <w:rPr>
          <w:rFonts w:ascii="Arial" w:hAnsi="Arial" w:cs="Arial"/>
        </w:rPr>
        <w:t xml:space="preserve"> </w:t>
      </w:r>
      <w:r w:rsidR="008F0E09">
        <w:rPr>
          <w:rFonts w:ascii="Arial" w:hAnsi="Arial" w:cs="Arial"/>
        </w:rPr>
        <w:t xml:space="preserve">beneficjenta </w:t>
      </w:r>
      <w:r w:rsidR="00336ADA">
        <w:rPr>
          <w:rFonts w:ascii="Arial" w:hAnsi="Arial" w:cs="Arial"/>
        </w:rPr>
        <w:t>potwierdzające, że nabyty środek trwały jest fabrycznie nowy</w:t>
      </w:r>
      <w:r w:rsidR="000D309A">
        <w:rPr>
          <w:rFonts w:ascii="Arial" w:hAnsi="Arial" w:cs="Arial"/>
        </w:rPr>
        <w:t>,</w:t>
      </w:r>
    </w:p>
    <w:p w:rsidR="00E22797" w:rsidRDefault="00E22797" w:rsidP="0091631C">
      <w:pPr>
        <w:pStyle w:val="Akapitzlist"/>
        <w:numPr>
          <w:ilvl w:val="1"/>
          <w:numId w:val="40"/>
        </w:numPr>
        <w:spacing w:before="120" w:after="120" w:line="360" w:lineRule="auto"/>
        <w:jc w:val="both"/>
        <w:rPr>
          <w:rFonts w:ascii="Arial" w:hAnsi="Arial" w:cs="Arial"/>
        </w:rPr>
      </w:pPr>
      <w:r>
        <w:rPr>
          <w:rFonts w:ascii="Arial" w:hAnsi="Arial" w:cs="Arial"/>
        </w:rPr>
        <w:t>w przypadku zakupu używanych środków trwałych:</w:t>
      </w:r>
    </w:p>
    <w:p w:rsidR="00E22797" w:rsidRDefault="00E22797" w:rsidP="0091631C">
      <w:pPr>
        <w:pStyle w:val="Akapitzlist"/>
        <w:spacing w:before="120" w:after="120" w:line="360" w:lineRule="auto"/>
        <w:jc w:val="both"/>
        <w:rPr>
          <w:rFonts w:ascii="Arial" w:hAnsi="Arial" w:cs="Arial"/>
        </w:rPr>
      </w:pPr>
      <w:r>
        <w:rPr>
          <w:rFonts w:ascii="Arial" w:hAnsi="Arial" w:cs="Arial"/>
        </w:rPr>
        <w:t xml:space="preserve">- oświadczeniem podmiotu zbywającego, ze w okresie 7 lat (w przypadku nieruchomości 10 lat) poprzedzających datę nabycia środka trwałego nie był on finansowany ze środków unijnych ani z krajowych środków pomocy publicznej lub pomocy </w:t>
      </w:r>
      <w:r w:rsidRPr="0091631C">
        <w:rPr>
          <w:rFonts w:ascii="Arial" w:hAnsi="Arial" w:cs="Arial"/>
          <w:i/>
        </w:rPr>
        <w:t xml:space="preserve">de </w:t>
      </w:r>
      <w:proofErr w:type="spellStart"/>
      <w:r w:rsidRPr="0091631C">
        <w:rPr>
          <w:rFonts w:ascii="Arial" w:hAnsi="Arial" w:cs="Arial"/>
          <w:i/>
        </w:rPr>
        <w:t>minimis</w:t>
      </w:r>
      <w:proofErr w:type="spellEnd"/>
      <w:r>
        <w:rPr>
          <w:rFonts w:ascii="Arial" w:hAnsi="Arial" w:cs="Arial"/>
        </w:rPr>
        <w:t xml:space="preserve">, </w:t>
      </w:r>
    </w:p>
    <w:p w:rsidR="00E22797" w:rsidRDefault="00684817" w:rsidP="0091631C">
      <w:pPr>
        <w:pStyle w:val="Akapitzlist"/>
        <w:spacing w:before="120" w:after="120" w:line="360" w:lineRule="auto"/>
        <w:jc w:val="both"/>
        <w:rPr>
          <w:rFonts w:ascii="Arial" w:hAnsi="Arial" w:cs="Arial"/>
        </w:rPr>
      </w:pPr>
      <w:r>
        <w:rPr>
          <w:rFonts w:ascii="Arial" w:hAnsi="Arial" w:cs="Arial"/>
        </w:rPr>
        <w:t>- oświadczeniem beneficjenta, że cena używanego środka trwałego nie przekracza jego wartości rynkowej i jest niższa niż cena podobnego, nowego środka trwałego,</w:t>
      </w:r>
    </w:p>
    <w:p w:rsidR="00684817" w:rsidRDefault="00684817" w:rsidP="0091631C">
      <w:pPr>
        <w:pStyle w:val="Akapitzlist"/>
        <w:spacing w:before="120" w:after="120" w:line="360" w:lineRule="auto"/>
        <w:jc w:val="both"/>
        <w:rPr>
          <w:rFonts w:ascii="Arial" w:hAnsi="Arial" w:cs="Arial"/>
        </w:rPr>
      </w:pPr>
      <w:r>
        <w:rPr>
          <w:rFonts w:ascii="Arial" w:hAnsi="Arial" w:cs="Arial"/>
        </w:rPr>
        <w:t>- deklaracją sprzedającego określającą pochodzenie danego używanego środka trwałego,</w:t>
      </w:r>
    </w:p>
    <w:p w:rsidR="007A523D" w:rsidRDefault="000D309A" w:rsidP="0091631C">
      <w:pPr>
        <w:pStyle w:val="Akapitzlist"/>
        <w:numPr>
          <w:ilvl w:val="0"/>
          <w:numId w:val="123"/>
        </w:numPr>
        <w:spacing w:before="120" w:after="120"/>
        <w:jc w:val="both"/>
        <w:rPr>
          <w:rFonts w:ascii="Arial" w:hAnsi="Arial" w:cs="Arial"/>
        </w:rPr>
      </w:pPr>
      <w:r w:rsidRPr="0091631C">
        <w:rPr>
          <w:rFonts w:ascii="Arial" w:hAnsi="Arial" w:cs="Arial"/>
        </w:rPr>
        <w:t>w przypadku analiz, ekspertyz</w:t>
      </w:r>
      <w:r w:rsidR="00F27D09" w:rsidRPr="0091631C">
        <w:rPr>
          <w:rFonts w:ascii="Arial" w:hAnsi="Arial" w:cs="Arial"/>
        </w:rPr>
        <w:t>, badań,</w:t>
      </w:r>
      <w:r w:rsidRPr="0091631C">
        <w:rPr>
          <w:rFonts w:ascii="Arial" w:hAnsi="Arial" w:cs="Arial"/>
        </w:rPr>
        <w:t xml:space="preserve"> opracowań</w:t>
      </w:r>
      <w:r w:rsidR="00F27D09" w:rsidRPr="0091631C">
        <w:rPr>
          <w:rFonts w:ascii="Arial" w:hAnsi="Arial" w:cs="Arial"/>
        </w:rPr>
        <w:t xml:space="preserve"> itp., </w:t>
      </w:r>
      <w:r w:rsidR="00684817">
        <w:rPr>
          <w:rFonts w:ascii="Arial" w:hAnsi="Arial" w:cs="Arial"/>
        </w:rPr>
        <w:t xml:space="preserve">poza dokumentami wskazanymi w lit. a) - d) </w:t>
      </w:r>
      <w:r w:rsidR="001A59BB" w:rsidRPr="00D4520F">
        <w:rPr>
          <w:rFonts w:ascii="Arial" w:hAnsi="Arial" w:cs="Arial"/>
        </w:rPr>
        <w:t xml:space="preserve">beneficjent musi być w posiadaniu dokumentu będącego wynikiem zleconej usługi, jednakże </w:t>
      </w:r>
      <w:r w:rsidR="00BC6E21" w:rsidRPr="00D4520F">
        <w:rPr>
          <w:rFonts w:ascii="Arial" w:hAnsi="Arial" w:cs="Arial"/>
        </w:rPr>
        <w:t xml:space="preserve">decyzja </w:t>
      </w:r>
      <w:r w:rsidR="001A59BB" w:rsidRPr="00D4520F">
        <w:rPr>
          <w:rFonts w:ascii="Arial" w:hAnsi="Arial" w:cs="Arial"/>
        </w:rPr>
        <w:t xml:space="preserve">o konieczności </w:t>
      </w:r>
      <w:r w:rsidR="00BC6E21" w:rsidRPr="00D4520F">
        <w:rPr>
          <w:rFonts w:ascii="Arial" w:hAnsi="Arial" w:cs="Arial"/>
        </w:rPr>
        <w:t xml:space="preserve">załączenia opracowania do wniosku o płatność podejmowania jest przez IP w indywidualnych przypadkach. W przypadku konieczności załączenia dokumentów beneficjent zostanie o tym poinformowany.  </w:t>
      </w:r>
    </w:p>
    <w:p w:rsidR="00D75851" w:rsidRDefault="00D75851" w:rsidP="00981286">
      <w:pPr>
        <w:pStyle w:val="Akapitzlist"/>
        <w:spacing w:before="120" w:after="120"/>
        <w:ind w:left="502"/>
        <w:jc w:val="both"/>
        <w:rPr>
          <w:rFonts w:ascii="Arial" w:hAnsi="Arial" w:cs="Arial"/>
        </w:rPr>
      </w:pPr>
    </w:p>
    <w:p w:rsidR="007142F7" w:rsidRDefault="00684817" w:rsidP="0091631C">
      <w:pPr>
        <w:pStyle w:val="Akapitzlist"/>
        <w:spacing w:before="120" w:after="120" w:line="360" w:lineRule="auto"/>
        <w:ind w:left="360" w:hanging="218"/>
        <w:jc w:val="both"/>
        <w:rPr>
          <w:rFonts w:ascii="Arial" w:hAnsi="Arial" w:cs="Arial"/>
        </w:rPr>
      </w:pPr>
      <w:r>
        <w:rPr>
          <w:rFonts w:ascii="Arial" w:hAnsi="Arial" w:cs="Arial"/>
        </w:rPr>
        <w:t>g</w:t>
      </w:r>
      <w:r w:rsidR="007A523D">
        <w:rPr>
          <w:rFonts w:ascii="Arial" w:hAnsi="Arial" w:cs="Arial"/>
        </w:rPr>
        <w:t xml:space="preserve">) </w:t>
      </w:r>
      <w:r w:rsidR="00132869" w:rsidRPr="00D66C51">
        <w:rPr>
          <w:rFonts w:ascii="Arial" w:hAnsi="Arial" w:cs="Arial"/>
        </w:rPr>
        <w:t>w przypadku zakupu materiałów informacyjno-promocyjnych</w:t>
      </w:r>
      <w:r>
        <w:rPr>
          <w:rFonts w:ascii="Arial" w:hAnsi="Arial" w:cs="Arial"/>
        </w:rPr>
        <w:t>, promocyjnych, poza dokumentami wskazanymi w lit. a) - d)</w:t>
      </w:r>
      <w:r w:rsidR="00132869" w:rsidRPr="00D66C51">
        <w:rPr>
          <w:rFonts w:ascii="Arial" w:hAnsi="Arial" w:cs="Arial"/>
        </w:rPr>
        <w:t xml:space="preserve">: </w:t>
      </w:r>
    </w:p>
    <w:p w:rsidR="00132869" w:rsidRDefault="00132869" w:rsidP="0091631C">
      <w:pPr>
        <w:pStyle w:val="Akapitzlist"/>
        <w:numPr>
          <w:ilvl w:val="1"/>
          <w:numId w:val="115"/>
        </w:numPr>
        <w:spacing w:before="120" w:after="120" w:line="360" w:lineRule="auto"/>
        <w:jc w:val="both"/>
        <w:rPr>
          <w:rFonts w:ascii="Arial" w:hAnsi="Arial" w:cs="Arial"/>
        </w:rPr>
      </w:pPr>
      <w:r w:rsidRPr="00D66C51">
        <w:rPr>
          <w:rFonts w:ascii="Arial" w:hAnsi="Arial" w:cs="Arial"/>
        </w:rPr>
        <w:t>kopiami, zdjęciami</w:t>
      </w:r>
      <w:r w:rsidR="00B54EE8">
        <w:rPr>
          <w:rFonts w:ascii="Arial" w:hAnsi="Arial" w:cs="Arial"/>
        </w:rPr>
        <w:t xml:space="preserve"> lub inaczej utrwalonymi odpowiednimi dla danego typu materiału informacyjnego sposobami </w:t>
      </w:r>
      <w:r w:rsidR="00791621" w:rsidRPr="00D66C51">
        <w:rPr>
          <w:rFonts w:ascii="Arial" w:hAnsi="Arial" w:cs="Arial"/>
        </w:rPr>
        <w:t>wykazania zakupu materiałów</w:t>
      </w:r>
      <w:r w:rsidR="00C67786" w:rsidRPr="00791621">
        <w:rPr>
          <w:rFonts w:ascii="Arial" w:hAnsi="Arial" w:cs="Arial"/>
        </w:rPr>
        <w:t>,</w:t>
      </w:r>
    </w:p>
    <w:p w:rsidR="007142F7" w:rsidRPr="00791621" w:rsidRDefault="007142F7" w:rsidP="0091631C">
      <w:pPr>
        <w:pStyle w:val="Akapitzlist"/>
        <w:numPr>
          <w:ilvl w:val="1"/>
          <w:numId w:val="115"/>
        </w:numPr>
        <w:spacing w:before="120" w:after="120" w:line="360" w:lineRule="auto"/>
        <w:jc w:val="both"/>
        <w:rPr>
          <w:rFonts w:ascii="Arial" w:hAnsi="Arial" w:cs="Arial"/>
        </w:rPr>
      </w:pPr>
      <w:r>
        <w:rPr>
          <w:rFonts w:ascii="Arial" w:hAnsi="Arial" w:cs="Arial"/>
        </w:rPr>
        <w:t xml:space="preserve">umową przeniesienia </w:t>
      </w:r>
      <w:r w:rsidR="00080A0C">
        <w:rPr>
          <w:rFonts w:ascii="Arial" w:hAnsi="Arial" w:cs="Arial"/>
        </w:rPr>
        <w:t>autorskich praw majątkowych i praw wykonywania praw zależnych do projektów materiałów</w:t>
      </w:r>
      <w:r w:rsidR="00012E85">
        <w:rPr>
          <w:rFonts w:ascii="Arial" w:hAnsi="Arial" w:cs="Arial"/>
        </w:rPr>
        <w:fldChar w:fldCharType="begin"/>
      </w:r>
      <w:r w:rsidR="00080A0C">
        <w:rPr>
          <w:rFonts w:ascii="Arial" w:hAnsi="Arial" w:cs="Arial"/>
        </w:rPr>
        <w:instrText xml:space="preserve"> LISTNUM </w:instrText>
      </w:r>
      <w:r w:rsidR="00012E85">
        <w:rPr>
          <w:rFonts w:ascii="Arial" w:hAnsi="Arial" w:cs="Arial"/>
        </w:rPr>
        <w:fldChar w:fldCharType="end">
          <w:numberingChange w:id="25" w:author="Jakub Kaminski" w:date="2015-08-28T14:23:00Z" w:original="i)"/>
        </w:fldChar>
      </w:r>
      <w:r w:rsidR="00080A0C">
        <w:rPr>
          <w:rFonts w:ascii="Arial" w:hAnsi="Arial" w:cs="Arial"/>
        </w:rPr>
        <w:t xml:space="preserve"> informacyjno-promocyjnych na polach eksploatacji w zakresie niezbędnym do korzystania z tych materiałów</w:t>
      </w:r>
      <w:r w:rsidR="00BC6E21">
        <w:rPr>
          <w:rFonts w:ascii="Arial" w:hAnsi="Arial" w:cs="Arial"/>
        </w:rPr>
        <w:t xml:space="preserve"> (jeśli dotyczy)</w:t>
      </w:r>
      <w:r w:rsidR="00684817">
        <w:rPr>
          <w:rFonts w:ascii="Arial" w:hAnsi="Arial" w:cs="Arial"/>
        </w:rPr>
        <w:t>,</w:t>
      </w:r>
      <w:r w:rsidR="00080A0C">
        <w:rPr>
          <w:rFonts w:ascii="Arial" w:hAnsi="Arial" w:cs="Arial"/>
        </w:rPr>
        <w:t xml:space="preserve"> </w:t>
      </w:r>
    </w:p>
    <w:p w:rsidR="00132869" w:rsidRPr="007E7165" w:rsidRDefault="001D1819" w:rsidP="0091631C">
      <w:pPr>
        <w:pStyle w:val="Akapitzlist"/>
        <w:spacing w:before="120" w:after="120" w:line="360" w:lineRule="auto"/>
        <w:ind w:left="360" w:hanging="218"/>
        <w:jc w:val="both"/>
        <w:rPr>
          <w:rFonts w:ascii="Arial" w:hAnsi="Arial" w:cs="Arial"/>
        </w:rPr>
      </w:pPr>
      <w:r>
        <w:rPr>
          <w:rFonts w:ascii="Arial" w:hAnsi="Arial" w:cs="Arial"/>
        </w:rPr>
        <w:t>h</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przypadku szkole</w:t>
      </w:r>
      <w:r w:rsidR="00284CBD" w:rsidRPr="007E7165">
        <w:rPr>
          <w:rFonts w:ascii="Arial" w:hAnsi="Arial" w:cs="Arial"/>
        </w:rPr>
        <w:t>ń</w:t>
      </w:r>
      <w:r w:rsidR="00540B91">
        <w:rPr>
          <w:rFonts w:ascii="Arial" w:hAnsi="Arial" w:cs="Arial"/>
        </w:rPr>
        <w:t>/warsztatów/seminariów/konferencji</w:t>
      </w:r>
      <w:r>
        <w:rPr>
          <w:rFonts w:ascii="Arial" w:hAnsi="Arial" w:cs="Arial"/>
        </w:rPr>
        <w:t>, poza dokumentami wskazanymi w lit. a) - d)</w:t>
      </w:r>
      <w:r w:rsidR="00A34C99">
        <w:rPr>
          <w:rFonts w:ascii="Arial" w:hAnsi="Arial" w:cs="Arial"/>
        </w:rPr>
        <w:t>:</w:t>
      </w:r>
      <w:r w:rsidR="007D733F">
        <w:rPr>
          <w:rFonts w:ascii="Arial" w:hAnsi="Arial" w:cs="Arial"/>
        </w:rPr>
        <w:t xml:space="preserve"> </w:t>
      </w:r>
    </w:p>
    <w:p w:rsidR="00132869" w:rsidRPr="0091631C" w:rsidRDefault="007D733F" w:rsidP="0091631C">
      <w:pPr>
        <w:pStyle w:val="Akapitzlist"/>
        <w:ind w:hanging="294"/>
        <w:rPr>
          <w:rFonts w:ascii="Arial" w:hAnsi="Arial" w:cs="Arial"/>
          <w:lang w:eastAsia="pl-PL"/>
        </w:rPr>
      </w:pPr>
      <w:r w:rsidRPr="0091631C">
        <w:rPr>
          <w:rFonts w:ascii="Arial" w:hAnsi="Arial" w:cs="Arial"/>
          <w:lang w:eastAsia="pl-PL"/>
        </w:rPr>
        <w:t xml:space="preserve">i) </w:t>
      </w:r>
      <w:r w:rsidR="00132869" w:rsidRPr="0091631C">
        <w:rPr>
          <w:rFonts w:ascii="Arial" w:hAnsi="Arial" w:cs="Arial"/>
          <w:lang w:eastAsia="pl-PL"/>
        </w:rPr>
        <w:t>programem szkolenia</w:t>
      </w:r>
      <w:r w:rsidR="00540B91" w:rsidRPr="0091631C">
        <w:rPr>
          <w:rFonts w:ascii="Arial" w:hAnsi="Arial" w:cs="Arial"/>
          <w:lang w:eastAsia="pl-PL"/>
        </w:rPr>
        <w:t>/warsztatu/seminarium/konferencji</w:t>
      </w:r>
      <w:r w:rsidR="00E03004" w:rsidRPr="0091631C">
        <w:rPr>
          <w:rFonts w:ascii="Arial" w:hAnsi="Arial" w:cs="Arial"/>
          <w:lang w:eastAsia="pl-PL"/>
        </w:rPr>
        <w:t>,</w:t>
      </w:r>
    </w:p>
    <w:p w:rsidR="00132869" w:rsidRPr="007362D8" w:rsidRDefault="00132869" w:rsidP="0091631C">
      <w:pPr>
        <w:numPr>
          <w:ilvl w:val="0"/>
          <w:numId w:val="124"/>
        </w:numPr>
        <w:spacing w:before="120" w:after="120" w:line="360" w:lineRule="auto"/>
        <w:ind w:hanging="76"/>
        <w:jc w:val="both"/>
        <w:rPr>
          <w:rFonts w:ascii="Arial" w:eastAsia="Times New Roman" w:hAnsi="Arial" w:cs="Arial"/>
          <w:lang w:eastAsia="pl-PL"/>
        </w:rPr>
      </w:pPr>
      <w:r w:rsidRPr="007362D8">
        <w:rPr>
          <w:rFonts w:ascii="Arial" w:eastAsia="Times New Roman" w:hAnsi="Arial" w:cs="Arial"/>
          <w:lang w:eastAsia="pl-PL"/>
        </w:rPr>
        <w:t>listami obecnośc</w:t>
      </w:r>
      <w:r w:rsidR="00D5442A">
        <w:rPr>
          <w:rFonts w:ascii="Arial" w:eastAsia="Times New Roman" w:hAnsi="Arial" w:cs="Arial"/>
          <w:lang w:eastAsia="pl-PL"/>
        </w:rPr>
        <w:t xml:space="preserve">i podpisanymi przez uczestników </w:t>
      </w:r>
      <w:r w:rsidRPr="007362D8">
        <w:rPr>
          <w:rFonts w:ascii="Arial" w:eastAsia="Times New Roman" w:hAnsi="Arial" w:cs="Arial"/>
          <w:lang w:eastAsia="pl-PL"/>
        </w:rPr>
        <w:t>szkolenia</w:t>
      </w:r>
      <w:r w:rsidR="00540B91">
        <w:rPr>
          <w:rFonts w:ascii="Arial" w:eastAsia="Times New Roman" w:hAnsi="Arial" w:cs="Arial"/>
          <w:lang w:eastAsia="pl-PL"/>
        </w:rPr>
        <w:t>/warsztatów/seminariów/konferencji</w:t>
      </w:r>
      <w:r w:rsidR="001D1819">
        <w:rPr>
          <w:rFonts w:ascii="Arial" w:eastAsia="Times New Roman" w:hAnsi="Arial" w:cs="Arial"/>
          <w:lang w:eastAsia="pl-PL"/>
        </w:rPr>
        <w:t xml:space="preserve"> (w sytuacji, gdy beneficjent jest organizatorem)</w:t>
      </w:r>
      <w:r w:rsidR="00E03004" w:rsidRPr="007362D8">
        <w:rPr>
          <w:rFonts w:ascii="Arial" w:eastAsia="Times New Roman" w:hAnsi="Arial" w:cs="Arial"/>
          <w:lang w:eastAsia="pl-PL"/>
        </w:rPr>
        <w:t>,</w:t>
      </w:r>
    </w:p>
    <w:p w:rsidR="00132869" w:rsidRPr="007362D8" w:rsidRDefault="00132869" w:rsidP="0091631C">
      <w:pPr>
        <w:numPr>
          <w:ilvl w:val="0"/>
          <w:numId w:val="12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 xml:space="preserve">kopiami </w:t>
      </w:r>
      <w:r w:rsidR="000E1269">
        <w:rPr>
          <w:rFonts w:ascii="Arial" w:eastAsia="Times New Roman" w:hAnsi="Arial" w:cs="Arial"/>
          <w:lang w:eastAsia="pl-PL"/>
        </w:rPr>
        <w:t xml:space="preserve">w wersji papierowej lub wydruku zeskanowanego obrazu elektronicznego oryginalnych </w:t>
      </w:r>
      <w:r w:rsidRPr="007362D8">
        <w:rPr>
          <w:rFonts w:ascii="Arial" w:eastAsia="Times New Roman" w:hAnsi="Arial" w:cs="Arial"/>
          <w:lang w:eastAsia="pl-PL"/>
        </w:rPr>
        <w:t>certyfikatów uczestnictwa przeznaczonych dla uczestników</w:t>
      </w:r>
      <w:r w:rsidR="001D1819">
        <w:rPr>
          <w:rFonts w:ascii="Arial" w:eastAsia="Times New Roman" w:hAnsi="Arial" w:cs="Arial"/>
          <w:lang w:eastAsia="pl-PL"/>
        </w:rPr>
        <w:t xml:space="preserve"> (w sytuacji, gdy takie certyfikaty były wydawane),</w:t>
      </w:r>
    </w:p>
    <w:p w:rsidR="00132869" w:rsidRPr="007E7165" w:rsidRDefault="001D1819" w:rsidP="00CA1CDE">
      <w:pPr>
        <w:pStyle w:val="Akapitzlist"/>
        <w:spacing w:before="120" w:after="120" w:line="360" w:lineRule="auto"/>
        <w:ind w:left="360" w:hanging="218"/>
        <w:jc w:val="both"/>
        <w:rPr>
          <w:rFonts w:ascii="Arial" w:hAnsi="Arial" w:cs="Arial"/>
        </w:rPr>
      </w:pPr>
      <w:r>
        <w:rPr>
          <w:rFonts w:ascii="Arial" w:hAnsi="Arial" w:cs="Arial"/>
        </w:rPr>
        <w:t>i</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 xml:space="preserve">przypadku wydatków </w:t>
      </w:r>
      <w:r w:rsidR="00284CBD" w:rsidRPr="007E7165">
        <w:rPr>
          <w:rFonts w:ascii="Arial" w:hAnsi="Arial" w:cs="Arial"/>
        </w:rPr>
        <w:t xml:space="preserve">na </w:t>
      </w:r>
      <w:r w:rsidR="00132869" w:rsidRPr="007E7165">
        <w:rPr>
          <w:rFonts w:ascii="Arial" w:hAnsi="Arial" w:cs="Arial"/>
        </w:rPr>
        <w:t xml:space="preserve">wynagrodzenia pracowników wykonujących czynności </w:t>
      </w:r>
      <w:r w:rsidR="00700782" w:rsidRPr="007E7165">
        <w:rPr>
          <w:rFonts w:ascii="Arial" w:hAnsi="Arial" w:cs="Arial"/>
        </w:rPr>
        <w:t xml:space="preserve">bezpośrednio </w:t>
      </w:r>
      <w:r w:rsidR="00132869" w:rsidRPr="007E7165">
        <w:rPr>
          <w:rFonts w:ascii="Arial" w:hAnsi="Arial" w:cs="Arial"/>
        </w:rPr>
        <w:t xml:space="preserve">związane z realizacją </w:t>
      </w:r>
      <w:r w:rsidR="00700782" w:rsidRPr="007E7165">
        <w:rPr>
          <w:rFonts w:ascii="Arial" w:hAnsi="Arial" w:cs="Arial"/>
        </w:rPr>
        <w:t>danego</w:t>
      </w:r>
      <w:r w:rsidR="00132869" w:rsidRPr="007E7165">
        <w:rPr>
          <w:rFonts w:ascii="Arial" w:hAnsi="Arial" w:cs="Arial"/>
        </w:rPr>
        <w:t xml:space="preserve"> projektu oraz wynagrodzeń ujętych w</w:t>
      </w:r>
      <w:r w:rsidR="00284CBD" w:rsidRPr="007E7165">
        <w:rPr>
          <w:rFonts w:ascii="Arial" w:hAnsi="Arial" w:cs="Arial"/>
        </w:rPr>
        <w:t xml:space="preserve"> kosztach </w:t>
      </w:r>
      <w:r w:rsidR="00132869" w:rsidRPr="007E7165">
        <w:rPr>
          <w:rFonts w:ascii="Arial" w:hAnsi="Arial" w:cs="Arial"/>
        </w:rPr>
        <w:t>pośredni</w:t>
      </w:r>
      <w:r w:rsidR="00284CBD" w:rsidRPr="007E7165">
        <w:rPr>
          <w:rFonts w:ascii="Arial" w:hAnsi="Arial" w:cs="Arial"/>
        </w:rPr>
        <w:t>ch</w:t>
      </w:r>
      <w:r w:rsidR="00132869" w:rsidRPr="007E7165">
        <w:rPr>
          <w:rFonts w:ascii="Arial" w:hAnsi="Arial" w:cs="Arial"/>
        </w:rPr>
        <w:t>:</w:t>
      </w:r>
    </w:p>
    <w:p w:rsidR="00132869" w:rsidRPr="00CA1CDE"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 xml:space="preserve">wszystkimi </w:t>
      </w:r>
      <w:r w:rsidR="00132869" w:rsidRPr="00CA1CDE">
        <w:rPr>
          <w:rFonts w:ascii="Arial" w:eastAsia="Times New Roman" w:hAnsi="Arial" w:cs="Arial"/>
          <w:lang w:eastAsia="pl-PL"/>
        </w:rPr>
        <w:t>umowami o pracę</w:t>
      </w:r>
      <w:r w:rsidRPr="00CA1CDE">
        <w:rPr>
          <w:rFonts w:ascii="Arial" w:eastAsia="Times New Roman" w:hAnsi="Arial" w:cs="Arial"/>
          <w:lang w:eastAsia="pl-PL"/>
        </w:rPr>
        <w:t xml:space="preserve"> oraz decyzjami o przyznanie</w:t>
      </w:r>
      <w:r w:rsidR="00132869" w:rsidRPr="00CA1CDE">
        <w:rPr>
          <w:rFonts w:ascii="Arial" w:eastAsia="Times New Roman" w:hAnsi="Arial" w:cs="Arial"/>
          <w:lang w:eastAsia="pl-PL"/>
        </w:rPr>
        <w:t xml:space="preserve"> dodatk</w:t>
      </w:r>
      <w:r w:rsidRPr="00CA1CDE">
        <w:rPr>
          <w:rFonts w:ascii="Arial" w:eastAsia="Times New Roman" w:hAnsi="Arial" w:cs="Arial"/>
          <w:lang w:eastAsia="pl-PL"/>
        </w:rPr>
        <w:t>ów,</w:t>
      </w:r>
      <w:r w:rsidR="001D1819" w:rsidRPr="00CA1CDE">
        <w:rPr>
          <w:rFonts w:ascii="Arial" w:eastAsia="Times New Roman" w:hAnsi="Arial" w:cs="Arial"/>
          <w:lang w:eastAsia="pl-PL"/>
        </w:rPr>
        <w:t xml:space="preserve"> </w:t>
      </w:r>
      <w:r w:rsidRPr="00CA1CDE">
        <w:rPr>
          <w:rFonts w:ascii="Arial" w:eastAsia="Times New Roman" w:hAnsi="Arial" w:cs="Arial"/>
          <w:lang w:eastAsia="pl-PL"/>
        </w:rPr>
        <w:t>premii lub innych form wynagradzania pracownika zatrudnionego w danej instytucji obowiązującymi w okresie</w:t>
      </w:r>
      <w:r w:rsidR="00F07EFC" w:rsidRPr="00CA1CDE">
        <w:rPr>
          <w:rFonts w:ascii="Arial" w:eastAsia="Times New Roman" w:hAnsi="Arial" w:cs="Arial"/>
          <w:lang w:eastAsia="pl-PL"/>
        </w:rPr>
        <w:t xml:space="preserve"> zaangażowania pracownika w związku z realizacją projektu, u</w:t>
      </w:r>
      <w:r w:rsidR="00132869" w:rsidRPr="00CA1CDE">
        <w:rPr>
          <w:rFonts w:ascii="Arial" w:eastAsia="Times New Roman" w:hAnsi="Arial" w:cs="Arial"/>
          <w:lang w:eastAsia="pl-PL"/>
        </w:rPr>
        <w:t>mowami cywilnoprawnymi i innymi dokumentami na podstawie których następuje wypłata wynagrodzenia w ramach projektu</w:t>
      </w:r>
      <w:r w:rsidR="00700782" w:rsidRPr="00CA1CDE">
        <w:rPr>
          <w:rFonts w:ascii="Arial" w:eastAsia="Times New Roman" w:hAnsi="Arial" w:cs="Arial"/>
          <w:lang w:eastAsia="pl-PL"/>
        </w:rPr>
        <w:t>,</w:t>
      </w:r>
    </w:p>
    <w:p w:rsidR="00132869" w:rsidRPr="00CA1CDE"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regulaminem pracy i/lub regulaminem wynagradzania w instytucji</w:t>
      </w:r>
      <w:r w:rsidR="00700782" w:rsidRPr="00CA1CDE">
        <w:rPr>
          <w:rFonts w:ascii="Arial" w:eastAsia="Times New Roman" w:hAnsi="Arial" w:cs="Arial"/>
          <w:lang w:eastAsia="pl-PL"/>
        </w:rPr>
        <w:t>,</w:t>
      </w:r>
    </w:p>
    <w:p w:rsidR="00132869" w:rsidRPr="007362D8"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kartami czasu pracy i/lub listami obecności jeżeli pracownik jest rozliczany w systemie godzin</w:t>
      </w:r>
      <w:r w:rsidR="00A34C99">
        <w:rPr>
          <w:rFonts w:ascii="Arial" w:eastAsia="Times New Roman" w:hAnsi="Arial" w:cs="Arial"/>
          <w:lang w:eastAsia="pl-PL"/>
        </w:rPr>
        <w:t>ow</w:t>
      </w:r>
      <w:r w:rsidRPr="007362D8">
        <w:rPr>
          <w:rFonts w:ascii="Arial" w:eastAsia="Times New Roman" w:hAnsi="Arial" w:cs="Arial"/>
          <w:lang w:eastAsia="pl-PL"/>
        </w:rPr>
        <w:t>ym</w:t>
      </w:r>
      <w:r w:rsidR="00700782" w:rsidRPr="007362D8">
        <w:rPr>
          <w:rFonts w:ascii="Arial" w:eastAsia="Times New Roman" w:hAnsi="Arial" w:cs="Arial"/>
          <w:lang w:eastAsia="pl-PL"/>
        </w:rPr>
        <w:t>,</w:t>
      </w:r>
    </w:p>
    <w:p w:rsidR="00132869"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dowodami zapłaty (bankowymi lub kasowymi) potwierdzającymi zapłatę wynagrodzenia</w:t>
      </w:r>
      <w:r w:rsidR="009A37FB">
        <w:rPr>
          <w:rFonts w:ascii="Arial" w:eastAsia="Times New Roman" w:hAnsi="Arial" w:cs="Arial"/>
          <w:lang w:eastAsia="pl-PL"/>
        </w:rPr>
        <w:t xml:space="preserve"> wraz z potrąceniami </w:t>
      </w:r>
      <w:r>
        <w:rPr>
          <w:rFonts w:ascii="Arial" w:eastAsia="Times New Roman" w:hAnsi="Arial" w:cs="Arial"/>
          <w:lang w:eastAsia="pl-PL"/>
        </w:rPr>
        <w:t>oraz pochodnych od wynagrodzenia, w tym m.in.</w:t>
      </w:r>
      <w:r w:rsidR="00C35303">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listami płac,</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zakresem obowiązków lub opisem stanowisk pracy, z których bezpośrednio wynika zakres czynności realizowanych przez pracownika,</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C35303">
        <w:rPr>
          <w:rFonts w:ascii="Arial" w:eastAsia="Times New Roman" w:hAnsi="Arial" w:cs="Arial"/>
          <w:lang w:eastAsia="pl-PL"/>
        </w:rPr>
        <w:t xml:space="preserve">dokumentacją potwierdzającą </w:t>
      </w:r>
      <w:r>
        <w:rPr>
          <w:rFonts w:ascii="Arial" w:eastAsia="Times New Roman" w:hAnsi="Arial" w:cs="Arial"/>
          <w:lang w:eastAsia="pl-PL"/>
        </w:rPr>
        <w:t xml:space="preserve">procentowe </w:t>
      </w:r>
      <w:r w:rsidRPr="00C35303">
        <w:rPr>
          <w:rFonts w:ascii="Arial" w:eastAsia="Times New Roman" w:hAnsi="Arial" w:cs="Arial"/>
          <w:lang w:eastAsia="pl-PL"/>
        </w:rPr>
        <w:t>zaangażowani</w:t>
      </w:r>
      <w:r>
        <w:rPr>
          <w:rFonts w:ascii="Arial" w:eastAsia="Times New Roman" w:hAnsi="Arial" w:cs="Arial"/>
          <w:lang w:eastAsia="pl-PL"/>
        </w:rPr>
        <w:t>e</w:t>
      </w:r>
      <w:r w:rsidRPr="00C35303">
        <w:rPr>
          <w:rFonts w:ascii="Arial" w:eastAsia="Times New Roman" w:hAnsi="Arial" w:cs="Arial"/>
          <w:lang w:eastAsia="pl-PL"/>
        </w:rPr>
        <w:t xml:space="preserve"> pracownika w projekt </w:t>
      </w:r>
      <w:r>
        <w:rPr>
          <w:rFonts w:ascii="Arial" w:eastAsia="Times New Roman" w:hAnsi="Arial" w:cs="Arial"/>
          <w:lang w:eastAsia="pl-PL"/>
        </w:rPr>
        <w:t xml:space="preserve">w odniesieniu do jego zakresu obowiązków </w:t>
      </w:r>
      <w:r w:rsidRPr="00C35303">
        <w:rPr>
          <w:rFonts w:ascii="Arial" w:eastAsia="Times New Roman" w:hAnsi="Arial" w:cs="Arial"/>
          <w:lang w:eastAsia="pl-PL"/>
        </w:rPr>
        <w:t xml:space="preserve">(jeśli nie wynika to z </w:t>
      </w:r>
      <w:r w:rsidR="00A97770">
        <w:rPr>
          <w:rFonts w:ascii="Arial" w:eastAsia="Times New Roman" w:hAnsi="Arial" w:cs="Arial"/>
          <w:lang w:eastAsia="pl-PL"/>
        </w:rPr>
        <w:t>dokumentów wskazanych w pkt vi)</w:t>
      </w:r>
      <w:r>
        <w:rPr>
          <w:rFonts w:ascii="Arial" w:eastAsia="Times New Roman" w:hAnsi="Arial" w:cs="Arial"/>
          <w:lang w:eastAsia="pl-PL"/>
        </w:rPr>
        <w:t>,</w:t>
      </w:r>
    </w:p>
    <w:p w:rsidR="00C35303" w:rsidRDefault="00347890" w:rsidP="00CA1CDE">
      <w:pPr>
        <w:numPr>
          <w:ilvl w:val="0"/>
          <w:numId w:val="64"/>
        </w:numPr>
        <w:spacing w:before="120" w:after="120" w:line="360" w:lineRule="auto"/>
        <w:ind w:left="709" w:hanging="283"/>
        <w:jc w:val="both"/>
        <w:rPr>
          <w:rFonts w:ascii="Arial" w:eastAsia="Times New Roman" w:hAnsi="Arial" w:cs="Arial"/>
          <w:lang w:eastAsia="pl-PL"/>
        </w:rPr>
      </w:pPr>
      <w:r w:rsidRPr="00347890">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r>
        <w:rPr>
          <w:rFonts w:ascii="Arial" w:eastAsia="Times New Roman" w:hAnsi="Arial" w:cs="Arial"/>
          <w:lang w:eastAsia="pl-PL"/>
        </w:rPr>
        <w:t>,</w:t>
      </w:r>
    </w:p>
    <w:p w:rsidR="00347890" w:rsidRPr="0091631C"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7890">
        <w:rPr>
          <w:rFonts w:ascii="Arial" w:eastAsia="Times New Roman" w:hAnsi="Arial" w:cs="Arial"/>
          <w:lang w:eastAsia="pl-PL"/>
        </w:rPr>
        <w:t xml:space="preserve">; </w:t>
      </w:r>
    </w:p>
    <w:p w:rsidR="00132869" w:rsidRPr="000E48AD" w:rsidRDefault="007C48BE" w:rsidP="0091631C">
      <w:pPr>
        <w:pStyle w:val="Akapitzlist"/>
        <w:spacing w:before="120" w:after="120" w:line="360" w:lineRule="auto"/>
        <w:ind w:left="360" w:hanging="218"/>
        <w:contextualSpacing w:val="0"/>
        <w:jc w:val="both"/>
        <w:rPr>
          <w:rFonts w:ascii="Arial" w:hAnsi="Arial" w:cs="Arial"/>
        </w:rPr>
      </w:pPr>
      <w:r>
        <w:rPr>
          <w:rFonts w:ascii="Arial" w:hAnsi="Arial" w:cs="Arial"/>
        </w:rPr>
        <w:t>j</w:t>
      </w:r>
      <w:r w:rsidR="00132869" w:rsidRPr="000E48AD">
        <w:rPr>
          <w:rFonts w:ascii="Arial" w:hAnsi="Arial" w:cs="Arial"/>
        </w:rPr>
        <w:t xml:space="preserve">) </w:t>
      </w:r>
      <w:r w:rsidR="007A523D">
        <w:rPr>
          <w:rFonts w:ascii="Arial" w:hAnsi="Arial" w:cs="Arial"/>
        </w:rPr>
        <w:t>w</w:t>
      </w:r>
      <w:r w:rsidR="007A523D" w:rsidRPr="000E48AD">
        <w:rPr>
          <w:rFonts w:ascii="Arial" w:hAnsi="Arial" w:cs="Arial"/>
        </w:rPr>
        <w:t xml:space="preserve"> </w:t>
      </w:r>
      <w:r w:rsidR="00132869" w:rsidRPr="000E48AD">
        <w:rPr>
          <w:rFonts w:ascii="Arial" w:hAnsi="Arial" w:cs="Arial"/>
        </w:rPr>
        <w:t>przypadku wydatków</w:t>
      </w:r>
      <w:r w:rsidR="00284CBD" w:rsidRPr="000E48AD">
        <w:rPr>
          <w:rFonts w:ascii="Arial" w:hAnsi="Arial" w:cs="Arial"/>
        </w:rPr>
        <w:t xml:space="preserve"> na</w:t>
      </w:r>
      <w:r w:rsidR="00132869" w:rsidRPr="000E48AD">
        <w:rPr>
          <w:rFonts w:ascii="Arial" w:hAnsi="Arial" w:cs="Arial"/>
        </w:rPr>
        <w:t xml:space="preserve"> zakup nieruchomości</w:t>
      </w:r>
      <w:r w:rsidR="00E03004" w:rsidRPr="000E48AD">
        <w:rPr>
          <w:rFonts w:ascii="Arial" w:hAnsi="Arial" w:cs="Arial"/>
        </w:rPr>
        <w:t>/</w:t>
      </w:r>
      <w:r w:rsidR="00132869" w:rsidRPr="000E48AD">
        <w:rPr>
          <w:rFonts w:ascii="Arial" w:hAnsi="Arial" w:cs="Arial"/>
        </w:rPr>
        <w:t>gruntu</w:t>
      </w:r>
      <w:r>
        <w:rPr>
          <w:rFonts w:ascii="Arial" w:hAnsi="Arial" w:cs="Arial"/>
        </w:rPr>
        <w:t>, poza dokumentami wskazanymi w lit. a) - d)</w:t>
      </w:r>
      <w:r w:rsidR="00700782" w:rsidRPr="000E48AD">
        <w:rPr>
          <w:rFonts w:ascii="Arial" w:hAnsi="Arial" w:cs="Arial"/>
        </w:rPr>
        <w:t>:</w:t>
      </w:r>
    </w:p>
    <w:p w:rsidR="00132869" w:rsidRPr="007362D8" w:rsidRDefault="00132869" w:rsidP="0091631C">
      <w:pPr>
        <w:numPr>
          <w:ilvl w:val="0"/>
          <w:numId w:val="65"/>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dokumentem</w:t>
      </w:r>
      <w:r w:rsidR="007E7165" w:rsidRPr="007362D8">
        <w:rPr>
          <w:rFonts w:ascii="Arial" w:eastAsia="Times New Roman" w:hAnsi="Arial" w:cs="Arial"/>
          <w:lang w:eastAsia="pl-PL"/>
        </w:rPr>
        <w:t xml:space="preserve"> księgowym</w:t>
      </w:r>
      <w:r w:rsidRPr="007362D8">
        <w:rPr>
          <w:rFonts w:ascii="Arial" w:eastAsia="Times New Roman" w:hAnsi="Arial" w:cs="Arial"/>
          <w:lang w:eastAsia="pl-PL"/>
        </w:rPr>
        <w:t xml:space="preserve">, który określa wartość nieruchomości </w:t>
      </w:r>
      <w:r w:rsidR="007E7165" w:rsidRPr="007362D8">
        <w:rPr>
          <w:rFonts w:ascii="Arial" w:eastAsia="Times New Roman" w:hAnsi="Arial" w:cs="Arial"/>
          <w:lang w:eastAsia="pl-PL"/>
        </w:rPr>
        <w:t>(</w:t>
      </w:r>
      <w:r w:rsidRPr="007362D8">
        <w:rPr>
          <w:rFonts w:ascii="Arial" w:eastAsia="Times New Roman" w:hAnsi="Arial" w:cs="Arial"/>
          <w:lang w:eastAsia="pl-PL"/>
        </w:rPr>
        <w:t>np. akt notarialny) oraz operatem szacunkowym</w:t>
      </w:r>
      <w:r w:rsidR="00347890">
        <w:rPr>
          <w:rFonts w:ascii="Arial" w:eastAsia="Times New Roman" w:hAnsi="Arial" w:cs="Arial"/>
          <w:lang w:eastAsia="pl-PL"/>
        </w:rPr>
        <w:t xml:space="preserve">, ważnym </w:t>
      </w:r>
      <w:r w:rsidR="004107D5">
        <w:rPr>
          <w:rFonts w:ascii="Arial" w:eastAsia="Times New Roman" w:hAnsi="Arial" w:cs="Arial"/>
          <w:lang w:eastAsia="pl-PL"/>
        </w:rPr>
        <w:t>na 12 miesięcy poprzedzających moment poniesienia wydatku,</w:t>
      </w:r>
      <w:r w:rsidRPr="007362D8">
        <w:rPr>
          <w:rFonts w:ascii="Arial" w:eastAsia="Times New Roman" w:hAnsi="Arial" w:cs="Arial"/>
          <w:lang w:eastAsia="pl-PL"/>
        </w:rPr>
        <w:t xml:space="preserve"> określającym wartość rynkową nieruchomości</w:t>
      </w:r>
      <w:r w:rsidR="004107D5">
        <w:rPr>
          <w:rFonts w:ascii="Arial" w:eastAsia="Times New Roman" w:hAnsi="Arial" w:cs="Arial"/>
          <w:lang w:eastAsia="pl-PL"/>
        </w:rPr>
        <w:t xml:space="preserve"> sporządzonym </w:t>
      </w:r>
      <w:r w:rsidR="0052190D">
        <w:rPr>
          <w:rFonts w:ascii="Arial" w:eastAsia="Times New Roman" w:hAnsi="Arial" w:cs="Arial"/>
          <w:lang w:eastAsia="pl-PL"/>
        </w:rPr>
        <w:t xml:space="preserve">przez rzeczoznawcę majątkowego, zgodnie z przepisami ustawy z dnia 21 sierpnia 1997 r. o gospodarce nieruchomościami (Dz. U. z 2014 r. poz. 518, z </w:t>
      </w:r>
      <w:proofErr w:type="spellStart"/>
      <w:r w:rsidR="0052190D">
        <w:rPr>
          <w:rFonts w:ascii="Arial" w:eastAsia="Times New Roman" w:hAnsi="Arial" w:cs="Arial"/>
          <w:lang w:eastAsia="pl-PL"/>
        </w:rPr>
        <w:t>późn</w:t>
      </w:r>
      <w:proofErr w:type="spellEnd"/>
      <w:r w:rsidR="0052190D">
        <w:rPr>
          <w:rFonts w:ascii="Arial" w:eastAsia="Times New Roman" w:hAnsi="Arial" w:cs="Arial"/>
          <w:lang w:eastAsia="pl-PL"/>
        </w:rPr>
        <w:t>. zm.)</w:t>
      </w:r>
      <w:r w:rsidRPr="007362D8">
        <w:rPr>
          <w:rFonts w:ascii="Arial" w:eastAsia="Times New Roman" w:hAnsi="Arial" w:cs="Arial"/>
          <w:lang w:eastAsia="pl-PL"/>
        </w:rPr>
        <w:t xml:space="preserve">. W przypadku, gdy dokument księgowy opiewa na wyższą wartość niż operat szacunkowy należy zadeklarować jako wydatek kwalifikowalny kwotę do wysokości określonej w operacie szacunkowym. </w:t>
      </w:r>
      <w:r w:rsidR="00D66C51">
        <w:rPr>
          <w:rFonts w:ascii="Arial" w:eastAsia="Times New Roman" w:hAnsi="Arial" w:cs="Arial"/>
          <w:lang w:eastAsia="pl-PL"/>
        </w:rPr>
        <w:t>W sytuacji, gdy</w:t>
      </w:r>
      <w:r w:rsidRPr="007362D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Default="00E02F39" w:rsidP="0091631C">
      <w:pPr>
        <w:spacing w:before="120" w:after="120" w:line="360" w:lineRule="auto"/>
        <w:ind w:left="568" w:hanging="426"/>
        <w:jc w:val="both"/>
        <w:rPr>
          <w:rFonts w:ascii="Arial" w:eastAsia="Times New Roman" w:hAnsi="Arial" w:cs="Arial"/>
          <w:lang w:eastAsia="pl-PL"/>
        </w:rPr>
      </w:pPr>
      <w:r>
        <w:rPr>
          <w:rFonts w:ascii="Arial" w:eastAsia="Times New Roman" w:hAnsi="Arial" w:cs="Arial"/>
          <w:lang w:eastAsia="pl-PL"/>
        </w:rPr>
        <w:t>k</w:t>
      </w:r>
      <w:r w:rsidR="00C35285">
        <w:rPr>
          <w:rFonts w:ascii="Arial" w:eastAsia="Times New Roman" w:hAnsi="Arial" w:cs="Arial"/>
          <w:lang w:eastAsia="pl-PL"/>
        </w:rPr>
        <w:t>) w przypadku wydatków dotyczących podróży służbowych i zakwaterowania pracowników:</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wniosk</w:t>
      </w:r>
      <w:r>
        <w:rPr>
          <w:rFonts w:ascii="Arial" w:eastAsia="Times New Roman" w:hAnsi="Arial" w:cs="Arial"/>
          <w:lang w:eastAsia="pl-PL"/>
        </w:rPr>
        <w:t>iem</w:t>
      </w:r>
      <w:r w:rsidRPr="00C35285">
        <w:rPr>
          <w:rFonts w:ascii="Arial" w:eastAsia="Times New Roman" w:hAnsi="Arial" w:cs="Arial"/>
          <w:lang w:eastAsia="pl-PL"/>
        </w:rPr>
        <w:t>/polecenie</w:t>
      </w:r>
      <w:r>
        <w:rPr>
          <w:rFonts w:ascii="Arial" w:eastAsia="Times New Roman" w:hAnsi="Arial" w:cs="Arial"/>
          <w:lang w:eastAsia="pl-PL"/>
        </w:rPr>
        <w:t>m</w:t>
      </w:r>
      <w:r w:rsidRPr="00C35285">
        <w:rPr>
          <w:rFonts w:ascii="Arial" w:eastAsia="Times New Roman" w:hAnsi="Arial" w:cs="Arial"/>
          <w:lang w:eastAsia="pl-PL"/>
        </w:rPr>
        <w:t xml:space="preserve"> wyjazdu służbowego wraz z rozliczeniem delegacji</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dowod</w:t>
      </w:r>
      <w:r>
        <w:rPr>
          <w:rFonts w:ascii="Arial" w:eastAsia="Times New Roman" w:hAnsi="Arial" w:cs="Arial"/>
          <w:lang w:eastAsia="pl-PL"/>
        </w:rPr>
        <w:t>ami</w:t>
      </w:r>
      <w:r w:rsidRPr="00C35285">
        <w:rPr>
          <w:rFonts w:ascii="Arial" w:eastAsia="Times New Roman" w:hAnsi="Arial" w:cs="Arial"/>
          <w:lang w:eastAsia="pl-PL"/>
        </w:rPr>
        <w:t xml:space="preserve"> zapłaty kwot związanych z delegacją (kwot faktur VAT/rachunków/diet/ryczałtów), a jeśli były</w:t>
      </w:r>
      <w:r>
        <w:rPr>
          <w:rFonts w:ascii="Arial" w:eastAsia="Times New Roman" w:hAnsi="Arial" w:cs="Arial"/>
          <w:lang w:eastAsia="pl-PL"/>
        </w:rPr>
        <w:t xml:space="preserve"> wypłacane zaliczki także dowodami</w:t>
      </w:r>
      <w:r w:rsidRPr="00C35285">
        <w:rPr>
          <w:rFonts w:ascii="Arial" w:eastAsia="Times New Roman" w:hAnsi="Arial" w:cs="Arial"/>
          <w:lang w:eastAsia="pl-PL"/>
        </w:rPr>
        <w:t xml:space="preserve"> wypłaty zaliczek</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bilet</w:t>
      </w:r>
      <w:r>
        <w:rPr>
          <w:rFonts w:ascii="Arial" w:eastAsia="Times New Roman" w:hAnsi="Arial" w:cs="Arial"/>
          <w:lang w:eastAsia="pl-PL"/>
        </w:rPr>
        <w:t>ami</w:t>
      </w:r>
      <w:r w:rsidRPr="00C35285">
        <w:rPr>
          <w:rFonts w:ascii="Arial" w:eastAsia="Times New Roman" w:hAnsi="Arial" w:cs="Arial"/>
          <w:lang w:eastAsia="pl-PL"/>
        </w:rPr>
        <w:t xml:space="preserve"> lotnicz</w:t>
      </w:r>
      <w:r>
        <w:rPr>
          <w:rFonts w:ascii="Arial" w:eastAsia="Times New Roman" w:hAnsi="Arial" w:cs="Arial"/>
          <w:lang w:eastAsia="pl-PL"/>
        </w:rPr>
        <w:t>ymi</w:t>
      </w:r>
      <w:r w:rsidRPr="00C35285">
        <w:rPr>
          <w:rFonts w:ascii="Arial" w:eastAsia="Times New Roman" w:hAnsi="Arial" w:cs="Arial"/>
          <w:lang w:eastAsia="pl-PL"/>
        </w:rPr>
        <w:t xml:space="preserve"> </w:t>
      </w:r>
      <w:r>
        <w:rPr>
          <w:rFonts w:ascii="Arial" w:eastAsia="Times New Roman" w:hAnsi="Arial" w:cs="Arial"/>
          <w:lang w:eastAsia="pl-PL"/>
        </w:rPr>
        <w:t xml:space="preserve">wystawionymi w formie papierowej </w:t>
      </w:r>
      <w:r w:rsidRPr="00C35285">
        <w:rPr>
          <w:rFonts w:ascii="Arial" w:eastAsia="Times New Roman" w:hAnsi="Arial" w:cs="Arial"/>
          <w:lang w:eastAsia="pl-PL"/>
        </w:rPr>
        <w:t>lub elektroniczne</w:t>
      </w:r>
      <w:r>
        <w:rPr>
          <w:rFonts w:ascii="Arial" w:eastAsia="Times New Roman" w:hAnsi="Arial" w:cs="Arial"/>
          <w:lang w:eastAsia="pl-PL"/>
        </w:rPr>
        <w:t xml:space="preserve">j, </w:t>
      </w:r>
      <w:r w:rsidRPr="00C35285">
        <w:rPr>
          <w:rFonts w:ascii="Arial" w:eastAsia="Times New Roman" w:hAnsi="Arial" w:cs="Arial"/>
          <w:lang w:eastAsia="pl-PL"/>
        </w:rPr>
        <w:t>wraz z fakturami VAT</w:t>
      </w:r>
      <w:r>
        <w:rPr>
          <w:rFonts w:ascii="Arial" w:eastAsia="Times New Roman" w:hAnsi="Arial" w:cs="Arial"/>
          <w:lang w:eastAsia="pl-PL"/>
        </w:rPr>
        <w:t xml:space="preserve"> i</w:t>
      </w:r>
      <w:r w:rsidRPr="00C35285">
        <w:rPr>
          <w:rFonts w:ascii="Arial" w:eastAsia="Times New Roman" w:hAnsi="Arial" w:cs="Arial"/>
          <w:lang w:eastAsia="pl-PL"/>
        </w:rPr>
        <w:t xml:space="preserve"> dowodami zapłaty</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biletami</w:t>
      </w:r>
      <w:r w:rsidRPr="00C35285">
        <w:rPr>
          <w:rFonts w:ascii="Arial" w:eastAsia="Times New Roman" w:hAnsi="Arial" w:cs="Arial"/>
          <w:lang w:eastAsia="pl-PL"/>
        </w:rPr>
        <w:t xml:space="preserve"> kolejow</w:t>
      </w:r>
      <w:r>
        <w:rPr>
          <w:rFonts w:ascii="Arial" w:eastAsia="Times New Roman" w:hAnsi="Arial" w:cs="Arial"/>
          <w:lang w:eastAsia="pl-PL"/>
        </w:rPr>
        <w:t>ymi, autobusowymi</w:t>
      </w:r>
      <w:r w:rsidRPr="00C35285">
        <w:rPr>
          <w:rFonts w:ascii="Arial" w:eastAsia="Times New Roman" w:hAnsi="Arial" w:cs="Arial"/>
          <w:lang w:eastAsia="pl-PL"/>
        </w:rPr>
        <w:t>, promow</w:t>
      </w:r>
      <w:r>
        <w:rPr>
          <w:rFonts w:ascii="Arial" w:eastAsia="Times New Roman" w:hAnsi="Arial" w:cs="Arial"/>
          <w:lang w:eastAsia="pl-PL"/>
        </w:rPr>
        <w:t>ymi</w:t>
      </w:r>
      <w:r w:rsidRPr="00C35285">
        <w:rPr>
          <w:rFonts w:ascii="Arial" w:eastAsia="Times New Roman" w:hAnsi="Arial" w:cs="Arial"/>
          <w:lang w:eastAsia="pl-PL"/>
        </w:rPr>
        <w:t xml:space="preserve"> i inn</w:t>
      </w:r>
      <w:r>
        <w:rPr>
          <w:rFonts w:ascii="Arial" w:eastAsia="Times New Roman" w:hAnsi="Arial" w:cs="Arial"/>
          <w:lang w:eastAsia="pl-PL"/>
        </w:rPr>
        <w:t>ymi,</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fakturami</w:t>
      </w:r>
      <w:r w:rsidRPr="00C35285">
        <w:rPr>
          <w:rFonts w:ascii="Arial" w:eastAsia="Times New Roman" w:hAnsi="Arial" w:cs="Arial"/>
          <w:lang w:eastAsia="pl-PL"/>
        </w:rPr>
        <w:t xml:space="preserve"> VAT za bilety kolejowe, autobusowe, promowe i inne (jeśli </w:t>
      </w:r>
      <w:r>
        <w:rPr>
          <w:rFonts w:ascii="Arial" w:eastAsia="Times New Roman" w:hAnsi="Arial" w:cs="Arial"/>
          <w:lang w:eastAsia="pl-PL"/>
        </w:rPr>
        <w:t xml:space="preserve">takie </w:t>
      </w:r>
      <w:r w:rsidRPr="00C35285">
        <w:rPr>
          <w:rFonts w:ascii="Arial" w:eastAsia="Times New Roman" w:hAnsi="Arial" w:cs="Arial"/>
          <w:lang w:eastAsia="pl-PL"/>
        </w:rPr>
        <w:t>wystawiono</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faktur</w:t>
      </w:r>
      <w:r>
        <w:rPr>
          <w:rFonts w:ascii="Arial" w:eastAsia="Times New Roman" w:hAnsi="Arial" w:cs="Arial"/>
          <w:lang w:eastAsia="pl-PL"/>
        </w:rPr>
        <w:t>ami</w:t>
      </w:r>
      <w:r w:rsidRPr="00C35285">
        <w:rPr>
          <w:rFonts w:ascii="Arial" w:eastAsia="Times New Roman" w:hAnsi="Arial" w:cs="Arial"/>
          <w:lang w:eastAsia="pl-PL"/>
        </w:rPr>
        <w:t xml:space="preserve"> VAT/rachunk</w:t>
      </w:r>
      <w:r>
        <w:rPr>
          <w:rFonts w:ascii="Arial" w:eastAsia="Times New Roman" w:hAnsi="Arial" w:cs="Arial"/>
          <w:lang w:eastAsia="pl-PL"/>
        </w:rPr>
        <w:t>am</w:t>
      </w:r>
      <w:r w:rsidRPr="00C35285">
        <w:rPr>
          <w:rFonts w:ascii="Arial" w:eastAsia="Times New Roman" w:hAnsi="Arial" w:cs="Arial"/>
          <w:lang w:eastAsia="pl-PL"/>
        </w:rPr>
        <w:t>i za nocleg</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agend</w:t>
      </w:r>
      <w:r>
        <w:rPr>
          <w:rFonts w:ascii="Arial" w:eastAsia="Times New Roman" w:hAnsi="Arial" w:cs="Arial"/>
          <w:lang w:eastAsia="pl-PL"/>
        </w:rPr>
        <w:t>ą</w:t>
      </w:r>
      <w:r w:rsidRPr="00C35285">
        <w:rPr>
          <w:rFonts w:ascii="Arial" w:eastAsia="Times New Roman" w:hAnsi="Arial" w:cs="Arial"/>
          <w:lang w:eastAsia="pl-PL"/>
        </w:rPr>
        <w:t xml:space="preserve"> spotkania/seminarium/konferencji</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sprawozdanie</w:t>
      </w:r>
      <w:r>
        <w:rPr>
          <w:rFonts w:ascii="Arial" w:eastAsia="Times New Roman" w:hAnsi="Arial" w:cs="Arial"/>
          <w:lang w:eastAsia="pl-PL"/>
        </w:rPr>
        <w:t>m</w:t>
      </w:r>
      <w:r w:rsidRPr="00C35285">
        <w:rPr>
          <w:rFonts w:ascii="Arial" w:eastAsia="Times New Roman" w:hAnsi="Arial" w:cs="Arial"/>
          <w:lang w:eastAsia="pl-PL"/>
        </w:rPr>
        <w:t xml:space="preserve"> z wyjazdu służbowego, o ile brak </w:t>
      </w:r>
      <w:r>
        <w:rPr>
          <w:rFonts w:ascii="Arial" w:eastAsia="Times New Roman" w:hAnsi="Arial" w:cs="Arial"/>
          <w:lang w:eastAsia="pl-PL"/>
        </w:rPr>
        <w:t xml:space="preserve">jest </w:t>
      </w:r>
      <w:r w:rsidRPr="00C35285">
        <w:rPr>
          <w:rFonts w:ascii="Arial" w:eastAsia="Times New Roman" w:hAnsi="Arial" w:cs="Arial"/>
          <w:lang w:eastAsia="pl-PL"/>
        </w:rPr>
        <w:t>innych dokumentów potwierdzających udział i związek delegacji z projektem</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diet za podróże służbowe należy przedstawić informację o zapewnionych/niezapewnionych posiłkach</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r>
        <w:rPr>
          <w:rFonts w:ascii="Arial" w:eastAsia="Times New Roman" w:hAnsi="Arial" w:cs="Arial"/>
          <w:lang w:eastAsia="pl-PL"/>
        </w:rPr>
        <w:t>,</w:t>
      </w:r>
    </w:p>
    <w:p w:rsidR="00C35285" w:rsidRDefault="00C35285"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paliwa do samochodu służbowego – faktur</w:t>
      </w:r>
      <w:r w:rsidR="000D309A">
        <w:rPr>
          <w:rFonts w:ascii="Arial" w:eastAsia="Times New Roman" w:hAnsi="Arial" w:cs="Arial"/>
          <w:lang w:eastAsia="pl-PL"/>
        </w:rPr>
        <w:t>ą</w:t>
      </w:r>
      <w:r w:rsidRPr="00C35285">
        <w:rPr>
          <w:rFonts w:ascii="Arial" w:eastAsia="Times New Roman" w:hAnsi="Arial" w:cs="Arial"/>
          <w:lang w:eastAsia="pl-PL"/>
        </w:rPr>
        <w:t xml:space="preserve"> VAT za zakup paliwa, kart</w:t>
      </w:r>
      <w:r w:rsidR="000D309A">
        <w:rPr>
          <w:rFonts w:ascii="Arial" w:eastAsia="Times New Roman" w:hAnsi="Arial" w:cs="Arial"/>
          <w:lang w:eastAsia="pl-PL"/>
        </w:rPr>
        <w:t>ą</w:t>
      </w:r>
      <w:r w:rsidRPr="00C35285">
        <w:rPr>
          <w:rFonts w:ascii="Arial" w:eastAsia="Times New Roman" w:hAnsi="Arial" w:cs="Arial"/>
          <w:lang w:eastAsia="pl-PL"/>
        </w:rPr>
        <w:t xml:space="preserve"> drogow</w:t>
      </w:r>
      <w:r w:rsidR="000D309A">
        <w:rPr>
          <w:rFonts w:ascii="Arial" w:eastAsia="Times New Roman" w:hAnsi="Arial" w:cs="Arial"/>
          <w:lang w:eastAsia="pl-PL"/>
        </w:rPr>
        <w:t>ą</w:t>
      </w:r>
      <w:r w:rsidRPr="00C35285">
        <w:rPr>
          <w:rFonts w:ascii="Arial" w:eastAsia="Times New Roman" w:hAnsi="Arial" w:cs="Arial"/>
          <w:lang w:eastAsia="pl-PL"/>
        </w:rPr>
        <w:t xml:space="preserve"> samochodu służbowego oraz kalkulacj</w:t>
      </w:r>
      <w:r w:rsidR="000D309A">
        <w:rPr>
          <w:rFonts w:ascii="Arial" w:eastAsia="Times New Roman" w:hAnsi="Arial" w:cs="Arial"/>
          <w:lang w:eastAsia="pl-PL"/>
        </w:rPr>
        <w:t>ą</w:t>
      </w:r>
      <w:r w:rsidRPr="00C35285">
        <w:rPr>
          <w:rFonts w:ascii="Arial" w:eastAsia="Times New Roman" w:hAnsi="Arial" w:cs="Arial"/>
          <w:lang w:eastAsia="pl-PL"/>
        </w:rPr>
        <w:t xml:space="preserve"> kosztów paliwa zużytego na cel delegacji w ramach projektu</w:t>
      </w:r>
      <w:r w:rsidR="000D309A">
        <w:rPr>
          <w:rFonts w:ascii="Arial" w:eastAsia="Times New Roman" w:hAnsi="Arial" w:cs="Arial"/>
          <w:lang w:eastAsia="pl-PL"/>
        </w:rPr>
        <w:t>,</w:t>
      </w:r>
    </w:p>
    <w:p w:rsidR="000D309A" w:rsidRDefault="000D309A" w:rsidP="0091631C">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rozliczenia kosztu winiet i parkingów należy przedstawić faktury za winiety i parking, a gdy nie było takich faktur – winiety i wydruki poświadczające opłacenie parkingu</w:t>
      </w:r>
      <w:r>
        <w:rPr>
          <w:rFonts w:ascii="Arial" w:eastAsia="Times New Roman" w:hAnsi="Arial" w:cs="Arial"/>
          <w:lang w:eastAsia="pl-PL"/>
        </w:rPr>
        <w:t>,</w:t>
      </w:r>
    </w:p>
    <w:p w:rsidR="00132869" w:rsidRPr="000D309A" w:rsidRDefault="000D309A" w:rsidP="0091631C">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w przypadku przekroczenia limitu hotelowego – zgod</w:t>
      </w:r>
      <w:r>
        <w:rPr>
          <w:rFonts w:ascii="Arial" w:eastAsia="Times New Roman" w:hAnsi="Arial" w:cs="Arial"/>
          <w:lang w:eastAsia="pl-PL"/>
        </w:rPr>
        <w:t>ą</w:t>
      </w:r>
      <w:r w:rsidRPr="00C35285">
        <w:rPr>
          <w:rFonts w:ascii="Arial" w:eastAsia="Times New Roman" w:hAnsi="Arial" w:cs="Arial"/>
          <w:lang w:eastAsia="pl-PL"/>
        </w:rPr>
        <w:t xml:space="preserve"> kierownika jednostki na przekroczenie limitu hotelowego wraz z uzasadnieniem</w:t>
      </w:r>
      <w:r>
        <w:rPr>
          <w:rFonts w:ascii="Arial" w:eastAsia="Times New Roman" w:hAnsi="Arial" w:cs="Arial"/>
          <w:lang w:eastAsia="pl-PL"/>
        </w:rPr>
        <w:t>.</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potwierdzający dokonanie płatności gotówkowej należy rozumieć:</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fakturę lub dokument księgowy o równoważnej wartości dowodowej z oznaczeniem, iż zapłacono gotówką lub</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Przez dokument potwierdzający poniesienie </w:t>
      </w:r>
      <w:r w:rsidRPr="0011522A">
        <w:rPr>
          <w:rFonts w:ascii="Arial" w:hAnsi="Arial" w:cs="Arial"/>
        </w:rPr>
        <w:t>kosztu</w:t>
      </w:r>
      <w:r w:rsidRPr="000E48AD">
        <w:rPr>
          <w:rFonts w:ascii="Arial" w:hAnsi="Arial" w:cs="Arial"/>
        </w:rPr>
        <w:t xml:space="preserve">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Przez dokumenty potwierdzające poniesienie kosztu związanego z wkładem niepieniężnym w postaci nieruchomości lub prawa użytkowania wieczystego do nieruchomości, należy rozumieć:</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dokumenty, o których mowa w pkt. </w:t>
      </w:r>
      <w:r w:rsidR="00791B55">
        <w:rPr>
          <w:rFonts w:ascii="Arial" w:hAnsi="Arial" w:cs="Arial"/>
        </w:rPr>
        <w:t>7</w:t>
      </w:r>
      <w:r w:rsidRPr="000E48AD">
        <w:rPr>
          <w:rFonts w:ascii="Arial" w:hAnsi="Arial" w:cs="Arial"/>
        </w:rPr>
        <w:t xml:space="preserve">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Pr>
          <w:rFonts w:ascii="Arial" w:hAnsi="Arial" w:cs="Arial"/>
        </w:rPr>
        <w:t>W sytuacji, gdy</w:t>
      </w:r>
      <w:r w:rsidRPr="000E48AD">
        <w:rPr>
          <w:rFonts w:ascii="Arial" w:hAnsi="Arial" w:cs="Arial"/>
        </w:rPr>
        <w:t xml:space="preserve"> dokument księgowy opiewa na niższą kwotę niż operat szacunkowy należy zadeklarować jako kwalifikowalną kwotę do wysokości określonej w dokumencie księgowym.</w:t>
      </w:r>
    </w:p>
    <w:p w:rsidR="00A34C99" w:rsidRDefault="00132869"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imię i nazwisko wolontariusza,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datę świadczenia pracy,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wymiar godzinowy, </w:t>
      </w:r>
    </w:p>
    <w:p w:rsidR="000E126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zakres realizowanych zadań oraz uzasadnienie ich związku z projektem</w:t>
      </w:r>
      <w:r w:rsidR="000E1269">
        <w:rPr>
          <w:rFonts w:ascii="Arial" w:hAnsi="Arial" w:cs="Arial"/>
        </w:rPr>
        <w:t>,</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uzasadnienie obliczenia </w:t>
      </w:r>
      <w:r w:rsidR="000E1269">
        <w:rPr>
          <w:rFonts w:ascii="Arial" w:hAnsi="Arial" w:cs="Arial"/>
        </w:rPr>
        <w:t xml:space="preserve">szacunkowej </w:t>
      </w:r>
      <w:r w:rsidRPr="000E48AD">
        <w:rPr>
          <w:rFonts w:ascii="Arial" w:hAnsi="Arial" w:cs="Arial"/>
        </w:rPr>
        <w:t>wartości</w:t>
      </w:r>
      <w:r w:rsidR="000E1269">
        <w:rPr>
          <w:rFonts w:ascii="Arial" w:hAnsi="Arial" w:cs="Arial"/>
        </w:rPr>
        <w:t xml:space="preserve"> </w:t>
      </w:r>
      <w:r w:rsidR="00D07FC1">
        <w:rPr>
          <w:rFonts w:ascii="Arial" w:hAnsi="Arial" w:cs="Arial"/>
        </w:rPr>
        <w:t xml:space="preserve">zadań </w:t>
      </w:r>
      <w:r w:rsidR="000E1269">
        <w:rPr>
          <w:rFonts w:ascii="Arial" w:hAnsi="Arial" w:cs="Arial"/>
        </w:rPr>
        <w:t>uwzględniającej powszechnie stosowane stawki rynkowe dla analogicznych zadań wykonywanych komercyjnie,</w:t>
      </w:r>
      <w:r w:rsidRPr="000E48AD">
        <w:rPr>
          <w:rFonts w:ascii="Arial" w:hAnsi="Arial" w:cs="Arial"/>
        </w:rPr>
        <w:t xml:space="preserve"> </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podpis wolontariusza i pracodawcy.</w:t>
      </w:r>
    </w:p>
    <w:p w:rsidR="00B14D05" w:rsidRPr="000E48AD" w:rsidRDefault="00AA0D56"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Dokumenty potwierdzające poniesione wydatki powinny być</w:t>
      </w:r>
      <w:r w:rsidR="00B14D05" w:rsidRPr="000E48AD">
        <w:rPr>
          <w:rFonts w:ascii="Arial" w:hAnsi="Arial" w:cs="Arial"/>
        </w:rPr>
        <w:t xml:space="preserve"> opisane w taki sposób, aby widoczny był związek danego wydatku z realizowanym projektem oraz powinny odnosić się do konkretnej pozycji wynikającej z wniosku o dofinansowanie. </w:t>
      </w:r>
      <w:r w:rsidR="002C6429">
        <w:rPr>
          <w:rFonts w:ascii="Arial" w:hAnsi="Arial" w:cs="Arial"/>
        </w:rPr>
        <w:t>Oryginał d</w:t>
      </w:r>
      <w:r w:rsidR="00B14D05" w:rsidRPr="000E48AD">
        <w:rPr>
          <w:rFonts w:ascii="Arial" w:hAnsi="Arial" w:cs="Arial"/>
        </w:rPr>
        <w:t>ow</w:t>
      </w:r>
      <w:r w:rsidR="002C6429">
        <w:rPr>
          <w:rFonts w:ascii="Arial" w:hAnsi="Arial" w:cs="Arial"/>
        </w:rPr>
        <w:t>o</w:t>
      </w:r>
      <w:r w:rsidR="00B14D05" w:rsidRPr="000E48AD">
        <w:rPr>
          <w:rFonts w:ascii="Arial" w:hAnsi="Arial" w:cs="Arial"/>
        </w:rPr>
        <w:t>d</w:t>
      </w:r>
      <w:r w:rsidR="002C6429">
        <w:rPr>
          <w:rFonts w:ascii="Arial" w:hAnsi="Arial" w:cs="Arial"/>
        </w:rPr>
        <w:t>u</w:t>
      </w:r>
      <w:r w:rsidR="00B14D05" w:rsidRPr="000E48AD">
        <w:rPr>
          <w:rFonts w:ascii="Arial" w:hAnsi="Arial" w:cs="Arial"/>
        </w:rPr>
        <w:t xml:space="preserve"> księgow</w:t>
      </w:r>
      <w:r w:rsidR="002C6429">
        <w:rPr>
          <w:rFonts w:ascii="Arial" w:hAnsi="Arial" w:cs="Arial"/>
        </w:rPr>
        <w:t>ego</w:t>
      </w:r>
      <w:r w:rsidR="00B14D05" w:rsidRPr="000E48AD">
        <w:rPr>
          <w:rFonts w:ascii="Arial" w:hAnsi="Arial" w:cs="Arial"/>
        </w:rPr>
        <w:t xml:space="preserve"> powinien być również podpisany przez osobę akceptującą dokument oraz zawierać dekretację (lub trwałe dołączenie wydruku dekretu do dokumentu), numer księgowy</w:t>
      </w:r>
      <w:r w:rsidR="002C6429">
        <w:rPr>
          <w:rFonts w:ascii="Arial" w:hAnsi="Arial" w:cs="Arial"/>
        </w:rPr>
        <w:t>. Na awersie oryginału dokumentu należy zawrzeć</w:t>
      </w:r>
      <w:r w:rsidR="00B14D05" w:rsidRPr="000E48AD">
        <w:rPr>
          <w:rFonts w:ascii="Arial" w:hAnsi="Arial" w:cs="Arial"/>
        </w:rPr>
        <w:t>, numer umowy o dofinansowanie</w:t>
      </w:r>
      <w:r w:rsidR="002C6429">
        <w:rPr>
          <w:rFonts w:ascii="Arial" w:hAnsi="Arial" w:cs="Arial"/>
        </w:rPr>
        <w:t xml:space="preserve">, natomiast na rewersie </w:t>
      </w:r>
      <w:r w:rsidR="00B14D05" w:rsidRPr="000E48AD">
        <w:rPr>
          <w:rFonts w:ascii="Arial" w:hAnsi="Arial" w:cs="Arial"/>
        </w:rPr>
        <w:t>informację o wspó</w:t>
      </w:r>
      <w:r w:rsidRPr="000E48AD">
        <w:rPr>
          <w:rFonts w:ascii="Arial" w:hAnsi="Arial" w:cs="Arial"/>
        </w:rPr>
        <w:t>łfinansowaniu z EFRR</w:t>
      </w:r>
      <w:r w:rsidR="002C6429">
        <w:rPr>
          <w:rFonts w:ascii="Arial" w:hAnsi="Arial" w:cs="Arial"/>
        </w:rPr>
        <w:t xml:space="preserve"> oraz kwotę wydatków kwalifikowalnych w ramach projektu</w:t>
      </w:r>
      <w:r w:rsidR="00B14D05" w:rsidRPr="000E48AD">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Pr>
          <w:rFonts w:ascii="Arial" w:hAnsi="Arial" w:cs="Arial"/>
        </w:rPr>
        <w:t xml:space="preserve"> Dodatkowo </w:t>
      </w:r>
      <w:r w:rsidR="002C6429" w:rsidRPr="002C6429">
        <w:rPr>
          <w:rFonts w:ascii="Arial" w:hAnsi="Arial" w:cs="Arial"/>
        </w:rPr>
        <w:t xml:space="preserve">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w:t>
      </w:r>
      <w:r w:rsidR="00A97770">
        <w:rPr>
          <w:rFonts w:ascii="Arial" w:hAnsi="Arial" w:cs="Arial"/>
        </w:rPr>
        <w:t>projektu (w tym nr zadania i nazwa kategorii)</w:t>
      </w:r>
      <w:r w:rsidR="002C6429">
        <w:rPr>
          <w:rFonts w:ascii="Arial" w:hAnsi="Arial" w:cs="Arial"/>
        </w:rPr>
        <w:t>,</w:t>
      </w:r>
      <w:r w:rsidR="002C6429" w:rsidRPr="002C6429">
        <w:rPr>
          <w:rFonts w:ascii="Arial" w:hAnsi="Arial" w:cs="Arial"/>
        </w:rPr>
        <w:t xml:space="preserve"> w której wydatek jest ujęty.</w:t>
      </w:r>
    </w:p>
    <w:p w:rsidR="00132869" w:rsidRPr="00A555CE" w:rsidRDefault="00D04FFE"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 xml:space="preserve">W ramach projektu należy prowadzić </w:t>
      </w:r>
      <w:r w:rsidR="00356615">
        <w:rPr>
          <w:rFonts w:ascii="Arial" w:hAnsi="Arial" w:cs="Arial"/>
        </w:rPr>
        <w:t>wyodrębnion</w:t>
      </w:r>
      <w:r>
        <w:rPr>
          <w:rFonts w:ascii="Arial" w:hAnsi="Arial" w:cs="Arial"/>
        </w:rPr>
        <w:t>ą</w:t>
      </w:r>
      <w:r w:rsidR="00356615">
        <w:rPr>
          <w:rFonts w:ascii="Arial" w:hAnsi="Arial" w:cs="Arial"/>
        </w:rPr>
        <w:t xml:space="preserve"> </w:t>
      </w:r>
      <w:r w:rsidR="00132869" w:rsidRPr="003217B9">
        <w:rPr>
          <w:rFonts w:ascii="Arial" w:hAnsi="Arial" w:cs="Arial"/>
        </w:rPr>
        <w:t>ewidencj</w:t>
      </w:r>
      <w:r>
        <w:rPr>
          <w:rFonts w:ascii="Arial" w:hAnsi="Arial" w:cs="Arial"/>
        </w:rPr>
        <w:t>ę</w:t>
      </w:r>
      <w:r w:rsidR="00132869" w:rsidRPr="003217B9">
        <w:rPr>
          <w:rFonts w:ascii="Arial" w:hAnsi="Arial" w:cs="Arial"/>
        </w:rPr>
        <w:t xml:space="preserve"> księgow</w:t>
      </w:r>
      <w:r>
        <w:rPr>
          <w:rFonts w:ascii="Arial" w:hAnsi="Arial" w:cs="Arial"/>
        </w:rPr>
        <w:t>ą</w:t>
      </w:r>
      <w:r w:rsidR="00132869" w:rsidRPr="003217B9">
        <w:rPr>
          <w:rFonts w:ascii="Arial" w:hAnsi="Arial" w:cs="Arial"/>
        </w:rPr>
        <w:t xml:space="preserve"> kosztów, wydatków</w:t>
      </w:r>
      <w:r w:rsidR="00626F88">
        <w:rPr>
          <w:rFonts w:ascii="Arial" w:hAnsi="Arial" w:cs="Arial"/>
        </w:rPr>
        <w:t xml:space="preserve"> i</w:t>
      </w:r>
      <w:r w:rsidR="00132869" w:rsidRPr="003217B9">
        <w:rPr>
          <w:rFonts w:ascii="Arial" w:hAnsi="Arial" w:cs="Arial"/>
        </w:rPr>
        <w:t xml:space="preserve"> przychodów</w:t>
      </w:r>
      <w:r w:rsidR="00356615">
        <w:rPr>
          <w:rFonts w:ascii="Arial" w:hAnsi="Arial" w:cs="Arial"/>
        </w:rPr>
        <w:t>, polegając</w:t>
      </w:r>
      <w:r>
        <w:rPr>
          <w:rFonts w:ascii="Arial" w:hAnsi="Arial" w:cs="Arial"/>
        </w:rPr>
        <w:t>ą</w:t>
      </w:r>
      <w:r w:rsidR="00356615">
        <w:rPr>
          <w:rFonts w:ascii="Arial" w:hAnsi="Arial" w:cs="Arial"/>
        </w:rPr>
        <w:t xml:space="preserve"> w szczególności na </w:t>
      </w:r>
      <w:r w:rsidR="00626F88">
        <w:rPr>
          <w:rFonts w:ascii="Arial" w:hAnsi="Arial" w:cs="Arial"/>
        </w:rPr>
        <w:t>prowadzeniu odrębnego systemu księgowego</w:t>
      </w:r>
      <w:r w:rsidR="00657432">
        <w:rPr>
          <w:rStyle w:val="Odwoanieprzypisudolnego"/>
          <w:rFonts w:ascii="Arial" w:hAnsi="Arial" w:cs="Arial"/>
        </w:rPr>
        <w:footnoteReference w:id="7"/>
      </w:r>
      <w:r w:rsidR="00626F88">
        <w:rPr>
          <w:rFonts w:ascii="Arial" w:hAnsi="Arial" w:cs="Arial"/>
        </w:rPr>
        <w:t xml:space="preserve"> lub </w:t>
      </w:r>
      <w:r w:rsidR="00132869" w:rsidRPr="003217B9">
        <w:rPr>
          <w:rFonts w:ascii="Arial" w:hAnsi="Arial" w:cs="Arial"/>
        </w:rPr>
        <w:t>stosowani</w:t>
      </w:r>
      <w:r w:rsidR="00356615">
        <w:rPr>
          <w:rFonts w:ascii="Arial" w:hAnsi="Arial" w:cs="Arial"/>
        </w:rPr>
        <w:t>u</w:t>
      </w:r>
      <w:r w:rsidR="00132869" w:rsidRPr="003217B9">
        <w:rPr>
          <w:rFonts w:ascii="Arial" w:hAnsi="Arial" w:cs="Arial"/>
        </w:rPr>
        <w:t xml:space="preserve"> w ramach istniejącego systemu księgowe</w:t>
      </w:r>
      <w:r w:rsidR="00626F88">
        <w:rPr>
          <w:rFonts w:ascii="Arial" w:hAnsi="Arial" w:cs="Arial"/>
        </w:rPr>
        <w:t>go</w:t>
      </w:r>
      <w:r w:rsidR="00132869" w:rsidRPr="003217B9">
        <w:rPr>
          <w:rFonts w:ascii="Arial" w:hAnsi="Arial" w:cs="Arial"/>
        </w:rPr>
        <w:t xml:space="preserve"> odrębnego kodu księgowego umożliwiającego identyfikację wszystkich transakcji oraz poszczególnych operacji bankowych związanych z projektem oraz zapewni</w:t>
      </w:r>
      <w:r>
        <w:rPr>
          <w:rFonts w:ascii="Arial" w:hAnsi="Arial" w:cs="Arial"/>
        </w:rPr>
        <w:t>ć</w:t>
      </w:r>
      <w:r w:rsidR="00132869" w:rsidRPr="003217B9">
        <w:rPr>
          <w:rFonts w:ascii="Arial" w:hAnsi="Arial" w:cs="Arial"/>
        </w:rPr>
        <w:t>, że operacje gospodarcze są ewidencjonowan</w:t>
      </w:r>
      <w:r w:rsidR="00132869" w:rsidRPr="00A555CE">
        <w:rPr>
          <w:rFonts w:ascii="Arial" w:hAnsi="Arial" w:cs="Arial"/>
        </w:rPr>
        <w:t>e zgodnie z obowiązującymi przepisami.</w:t>
      </w:r>
    </w:p>
    <w:p w:rsidR="00132869" w:rsidRPr="00A555CE" w:rsidRDefault="00132869" w:rsidP="00CA1CDE">
      <w:pPr>
        <w:pStyle w:val="Akapitzlist"/>
        <w:numPr>
          <w:ilvl w:val="0"/>
          <w:numId w:val="19"/>
        </w:numPr>
        <w:spacing w:before="120" w:after="120" w:line="360" w:lineRule="auto"/>
        <w:ind w:hanging="357"/>
        <w:jc w:val="both"/>
        <w:rPr>
          <w:rFonts w:ascii="Arial" w:hAnsi="Arial" w:cs="Arial"/>
        </w:rPr>
      </w:pPr>
      <w:r w:rsidRPr="00A555CE">
        <w:rPr>
          <w:rFonts w:ascii="Arial" w:hAnsi="Arial" w:cs="Arial"/>
        </w:rPr>
        <w:t>Dokumenty związane z realizacją projektu powinny być przechowywane przez okres wskazany w umowie o dofinansowanie.</w:t>
      </w:r>
    </w:p>
    <w:p w:rsidR="00126CDA" w:rsidRDefault="00126CDA"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W</w:t>
      </w:r>
      <w:r w:rsidR="00657432">
        <w:rPr>
          <w:rFonts w:ascii="Arial" w:hAnsi="Arial" w:cs="Arial"/>
        </w:rPr>
        <w:t xml:space="preserve"> sytuacji poniesienia w</w:t>
      </w:r>
      <w:r>
        <w:rPr>
          <w:rFonts w:ascii="Arial" w:hAnsi="Arial" w:cs="Arial"/>
        </w:rPr>
        <w:t>ydatk</w:t>
      </w:r>
      <w:r w:rsidR="00657432">
        <w:rPr>
          <w:rFonts w:ascii="Arial" w:hAnsi="Arial" w:cs="Arial"/>
        </w:rPr>
        <w:t xml:space="preserve">u </w:t>
      </w:r>
      <w:r w:rsidR="006423EA" w:rsidRPr="006423EA">
        <w:rPr>
          <w:rFonts w:ascii="Arial" w:hAnsi="Arial" w:cs="Arial"/>
        </w:rPr>
        <w:t>w walucie innej niż PLN</w:t>
      </w:r>
      <w:r w:rsidR="00657432">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Pr>
          <w:rFonts w:ascii="Arial" w:hAnsi="Arial" w:cs="Arial"/>
        </w:rPr>
        <w:t>niż faktycznie poniesiony i odzwierciedlony w księgach rachunkowych beneficjenta, zgodnie z przepisami krajowymi w zakresie rachunkowości oraz podatku VAT.</w:t>
      </w:r>
      <w:r w:rsidR="006423EA" w:rsidRPr="006423EA">
        <w:rPr>
          <w:rFonts w:ascii="Arial" w:hAnsi="Arial" w:cs="Arial"/>
        </w:rPr>
        <w:t xml:space="preserve"> </w:t>
      </w:r>
    </w:p>
    <w:p w:rsidR="00132869" w:rsidRPr="003217B9"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W przypadku</w:t>
      </w:r>
      <w:r w:rsidR="0030208A">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3217B9">
        <w:rPr>
          <w:rFonts w:ascii="Arial" w:hAnsi="Arial" w:cs="Arial"/>
        </w:rPr>
        <w:t>.</w:t>
      </w:r>
    </w:p>
    <w:p w:rsidR="00903FFD" w:rsidRDefault="00132869" w:rsidP="00CA1CDE">
      <w:pPr>
        <w:pStyle w:val="Akapitzlist"/>
        <w:numPr>
          <w:ilvl w:val="0"/>
          <w:numId w:val="19"/>
        </w:numPr>
        <w:spacing w:before="120" w:after="120" w:line="360" w:lineRule="auto"/>
        <w:ind w:hanging="357"/>
        <w:jc w:val="both"/>
        <w:rPr>
          <w:rFonts w:ascii="Arial" w:hAnsi="Arial" w:cs="Arial"/>
        </w:rPr>
      </w:pPr>
      <w:r w:rsidRPr="003217B9">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Pr>
          <w:rFonts w:ascii="Arial" w:hAnsi="Arial" w:cs="Arial"/>
        </w:rPr>
        <w:t>kursie zgodnym z zasadami rachunkowości stosowanymi u beneficjenta</w:t>
      </w:r>
      <w:r w:rsidRPr="003217B9">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6" w:name="_Toc399917175"/>
      <w:bookmarkStart w:id="27" w:name="_Toc428535186"/>
      <w:r w:rsidRPr="007E469E">
        <w:rPr>
          <w:rFonts w:ascii="Arial" w:hAnsi="Arial" w:cs="Arial"/>
          <w:i/>
          <w:color w:val="auto"/>
          <w:sz w:val="24"/>
          <w:szCs w:val="24"/>
        </w:rPr>
        <w:t>Warunki oraz okres kwalifikowania wydatków w projektach podlegających zasadom pomocy publicznej</w:t>
      </w:r>
      <w:bookmarkEnd w:id="27"/>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Ramy czasowe kwalifikowalności dla projektów objętych pomocą publiczną:</w:t>
      </w:r>
    </w:p>
    <w:p w:rsidR="001C278F" w:rsidRPr="007E469E" w:rsidRDefault="001C278F" w:rsidP="00AA774A">
      <w:pPr>
        <w:pStyle w:val="Akapitzlist"/>
        <w:numPr>
          <w:ilvl w:val="1"/>
          <w:numId w:val="38"/>
        </w:numPr>
        <w:spacing w:after="0" w:line="360" w:lineRule="auto"/>
        <w:jc w:val="both"/>
        <w:rPr>
          <w:rFonts w:ascii="Arial" w:hAnsi="Arial" w:cs="Arial"/>
        </w:rPr>
      </w:pPr>
      <w:r w:rsidRPr="00BA6717">
        <w:rPr>
          <w:rFonts w:ascii="Arial" w:hAnsi="Arial" w:cs="Arial"/>
        </w:rPr>
        <w:t>W przypadku projektów objętych programem</w:t>
      </w:r>
      <w:r w:rsidRPr="007E469E">
        <w:rPr>
          <w:rFonts w:ascii="Arial" w:hAnsi="Arial" w:cs="Arial"/>
        </w:rPr>
        <w:t xml:space="preserve"> pomocowym</w:t>
      </w:r>
      <w:r w:rsidRPr="0024647E">
        <w:rPr>
          <w:rStyle w:val="Odwoanieprzypisudolnego"/>
          <w:rFonts w:ascii="Arial" w:eastAsia="Times New Roman" w:hAnsi="Arial" w:cs="Arial"/>
          <w:sz w:val="20"/>
          <w:szCs w:val="20"/>
        </w:rPr>
        <w:footnoteReference w:id="8"/>
      </w:r>
      <w:r w:rsidRPr="007E469E">
        <w:rPr>
          <w:rFonts w:ascii="Arial" w:hAnsi="Arial" w:cs="Arial"/>
        </w:rPr>
        <w:t xml:space="preserve"> – obowiązują ramy czasowe określone w ty</w:t>
      </w:r>
      <w:r>
        <w:rPr>
          <w:rFonts w:ascii="Arial" w:hAnsi="Arial" w:cs="Arial"/>
        </w:rPr>
        <w:t>m</w:t>
      </w:r>
      <w:r w:rsidRPr="007E469E">
        <w:rPr>
          <w:rFonts w:ascii="Arial" w:hAnsi="Arial" w:cs="Arial"/>
        </w:rPr>
        <w:t xml:space="preserve"> ak</w:t>
      </w:r>
      <w:r>
        <w:rPr>
          <w:rFonts w:ascii="Arial" w:hAnsi="Arial" w:cs="Arial"/>
        </w:rPr>
        <w:t>cie</w:t>
      </w:r>
      <w:r w:rsidRPr="007E469E">
        <w:rPr>
          <w:rFonts w:ascii="Arial" w:hAnsi="Arial" w:cs="Arial"/>
        </w:rPr>
        <w:t>.</w:t>
      </w:r>
    </w:p>
    <w:p w:rsidR="001C278F" w:rsidRPr="007E469E" w:rsidRDefault="001C278F" w:rsidP="00AA774A">
      <w:pPr>
        <w:pStyle w:val="Akapitzlist"/>
        <w:numPr>
          <w:ilvl w:val="1"/>
          <w:numId w:val="38"/>
        </w:numPr>
        <w:spacing w:after="0" w:line="360" w:lineRule="auto"/>
        <w:jc w:val="both"/>
        <w:rPr>
          <w:rFonts w:ascii="Arial" w:hAnsi="Arial" w:cs="Arial"/>
        </w:rPr>
      </w:pPr>
      <w:r w:rsidRPr="007E469E">
        <w:rPr>
          <w:rFonts w:ascii="Arial" w:hAnsi="Arial" w:cs="Arial"/>
        </w:rPr>
        <w:t>W przypadku projektów, na które została przyznana pomoc indywidualna</w:t>
      </w:r>
      <w:r>
        <w:rPr>
          <w:rFonts w:ascii="Arial" w:hAnsi="Arial" w:cs="Arial"/>
        </w:rPr>
        <w:t xml:space="preserve"> </w:t>
      </w:r>
      <w:r w:rsidRPr="007E469E">
        <w:rPr>
          <w:rFonts w:ascii="Arial" w:hAnsi="Arial" w:cs="Arial"/>
        </w:rPr>
        <w:t>– obowiązują ramy czasowe określone w akcie przyznającym tę pomoc</w:t>
      </w:r>
      <w:r>
        <w:rPr>
          <w:rFonts w:ascii="Arial" w:hAnsi="Arial" w:cs="Arial"/>
        </w:rPr>
        <w:t xml:space="preserve"> albo programie pomocowym, na podstawie którego pomoc ta ma być przyznana.</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Ze środków POPC mogą być udzielane, na podstawie programu pomocowego lub jako pomoc indywidualna następujące rodzaje pomocy: </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Regionalna pomoc inwestycyjna (unijna podstawa prawna: art. 14 rozporządzenia KE nr  651/ 2014),</w:t>
      </w:r>
    </w:p>
    <w:p w:rsidR="001C278F" w:rsidRDefault="001C278F" w:rsidP="00AA774A">
      <w:pPr>
        <w:pStyle w:val="Akapitzlist"/>
        <w:numPr>
          <w:ilvl w:val="1"/>
          <w:numId w:val="39"/>
        </w:numPr>
        <w:spacing w:after="0" w:line="360" w:lineRule="auto"/>
        <w:jc w:val="both"/>
        <w:rPr>
          <w:rFonts w:ascii="Arial" w:hAnsi="Arial" w:cs="Arial"/>
        </w:rPr>
      </w:pPr>
      <w:r>
        <w:rPr>
          <w:rFonts w:ascii="Arial" w:hAnsi="Arial" w:cs="Arial"/>
        </w:rPr>
        <w:t>Pomoc na kulturę i zachowanie dziedzictwa kulturowego (unijna podstawa prawna: art. 53</w:t>
      </w:r>
      <w:r w:rsidRPr="007E469E">
        <w:rPr>
          <w:rFonts w:ascii="Arial" w:hAnsi="Arial" w:cs="Arial"/>
        </w:rPr>
        <w:t xml:space="preserve"> rozporządzenia KE nr 651/ 2014)</w:t>
      </w:r>
      <w:r>
        <w:rPr>
          <w:rFonts w:ascii="Arial" w:hAnsi="Arial" w:cs="Arial"/>
        </w:rPr>
        <w:t>,</w:t>
      </w:r>
    </w:p>
    <w:p w:rsidR="005F0287" w:rsidRPr="007E469E" w:rsidRDefault="005F0287" w:rsidP="00AA774A">
      <w:pPr>
        <w:pStyle w:val="Akapitzlist"/>
        <w:numPr>
          <w:ilvl w:val="1"/>
          <w:numId w:val="39"/>
        </w:numPr>
        <w:spacing w:after="0" w:line="360" w:lineRule="auto"/>
        <w:jc w:val="both"/>
        <w:rPr>
          <w:rFonts w:ascii="Arial" w:hAnsi="Arial" w:cs="Arial"/>
        </w:rPr>
      </w:pPr>
      <w:r>
        <w:rPr>
          <w:rFonts w:ascii="Arial" w:hAnsi="Arial" w:cs="Arial"/>
        </w:rPr>
        <w:t>Pomoc szkoleniowa (</w:t>
      </w:r>
      <w:r w:rsidRPr="007E469E">
        <w:rPr>
          <w:rFonts w:ascii="Arial" w:hAnsi="Arial" w:cs="Arial"/>
        </w:rPr>
        <w:t xml:space="preserve">unijna podstawa prawna: art. </w:t>
      </w:r>
      <w:r>
        <w:rPr>
          <w:rFonts w:ascii="Arial" w:hAnsi="Arial" w:cs="Arial"/>
        </w:rPr>
        <w:t>31</w:t>
      </w:r>
      <w:r w:rsidRPr="007E469E">
        <w:rPr>
          <w:rFonts w:ascii="Arial" w:hAnsi="Arial" w:cs="Arial"/>
        </w:rPr>
        <w:t xml:space="preserve"> rozporządzenia KE nr  651/ 2014)</w:t>
      </w:r>
      <w:r>
        <w:rPr>
          <w:rFonts w:ascii="Arial" w:hAnsi="Arial" w:cs="Arial"/>
        </w:rPr>
        <w:t>,</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 xml:space="preserve">Pomoc de </w:t>
      </w:r>
      <w:proofErr w:type="spellStart"/>
      <w:r w:rsidRPr="007E469E">
        <w:rPr>
          <w:rFonts w:ascii="Arial" w:hAnsi="Arial" w:cs="Arial"/>
        </w:rPr>
        <w:t>minimis</w:t>
      </w:r>
      <w:proofErr w:type="spellEnd"/>
      <w:r w:rsidRPr="007E469E">
        <w:rPr>
          <w:rFonts w:ascii="Arial" w:hAnsi="Arial" w:cs="Arial"/>
        </w:rPr>
        <w:t xml:space="preserve"> – unijna podstawa prawna: rozporządzenie KE nr 1407/2013 </w:t>
      </w:r>
      <w:proofErr w:type="spellStart"/>
      <w:r w:rsidRPr="007E469E">
        <w:rPr>
          <w:rFonts w:ascii="Arial" w:hAnsi="Arial" w:cs="Arial"/>
        </w:rPr>
        <w:t>ws</w:t>
      </w:r>
      <w:proofErr w:type="spellEnd"/>
      <w:r w:rsidRPr="007E469E">
        <w:rPr>
          <w:rFonts w:ascii="Arial" w:hAnsi="Arial" w:cs="Arial"/>
        </w:rPr>
        <w:t xml:space="preserve">. pomocy de </w:t>
      </w:r>
      <w:proofErr w:type="spellStart"/>
      <w:r w:rsidRPr="007E469E">
        <w:rPr>
          <w:rFonts w:ascii="Arial" w:hAnsi="Arial" w:cs="Arial"/>
        </w:rPr>
        <w:t>minimis</w:t>
      </w:r>
      <w:proofErr w:type="spellEnd"/>
      <w:r w:rsidRPr="007E469E">
        <w:rPr>
          <w:rFonts w:ascii="Arial" w:hAnsi="Arial" w:cs="Arial"/>
        </w:rPr>
        <w:t>.</w:t>
      </w:r>
    </w:p>
    <w:p w:rsidR="001C278F" w:rsidRPr="007E469E" w:rsidRDefault="001C278F" w:rsidP="008A69F7">
      <w:pPr>
        <w:pStyle w:val="Akapit"/>
        <w:numPr>
          <w:ilvl w:val="0"/>
          <w:numId w:val="16"/>
        </w:numPr>
        <w:tabs>
          <w:tab w:val="num" w:pos="403"/>
        </w:tabs>
        <w:spacing w:before="120" w:after="120"/>
        <w:ind w:left="403" w:hanging="403"/>
        <w:outlineLvl w:val="5"/>
        <w:rPr>
          <w:rFonts w:cs="Arial"/>
          <w:bCs w:val="0"/>
          <w:szCs w:val="22"/>
        </w:rPr>
      </w:pPr>
      <w:r w:rsidRPr="007E469E">
        <w:rPr>
          <w:rFonts w:cs="Arial"/>
          <w:bCs w:val="0"/>
          <w:szCs w:val="22"/>
        </w:rPr>
        <w:t>Określone wsparcie może być też udzielane jako rekompensata z tytułu realizacji usługi/ usług w ogólnym interesie gospodarczym (UOIG), zgodnie z tzw. pakietem UOIG</w:t>
      </w:r>
      <w:r w:rsidRPr="007E469E">
        <w:rPr>
          <w:rFonts w:cs="Arial"/>
          <w:bCs w:val="0"/>
          <w:szCs w:val="22"/>
          <w:vertAlign w:val="superscript"/>
        </w:rPr>
        <w:footnoteReference w:id="9"/>
      </w:r>
      <w:r w:rsidRPr="007E469E">
        <w:rPr>
          <w:rFonts w:cs="Arial"/>
          <w:bCs w:val="0"/>
          <w:szCs w:val="22"/>
        </w:rPr>
        <w:t>. Taka rekompensata:</w:t>
      </w:r>
    </w:p>
    <w:p w:rsidR="001C278F" w:rsidRPr="007E469E" w:rsidRDefault="001C278F" w:rsidP="000C13DB">
      <w:pPr>
        <w:pStyle w:val="Akapitzlist"/>
        <w:numPr>
          <w:ilvl w:val="1"/>
          <w:numId w:val="67"/>
        </w:numPr>
        <w:spacing w:after="0" w:line="360" w:lineRule="auto"/>
        <w:jc w:val="both"/>
        <w:rPr>
          <w:rFonts w:ascii="Arial" w:hAnsi="Arial" w:cs="Arial"/>
        </w:rPr>
      </w:pPr>
      <w:r w:rsidRPr="007E469E">
        <w:rPr>
          <w:rFonts w:ascii="Arial" w:hAnsi="Arial" w:cs="Arial"/>
        </w:rPr>
        <w:t xml:space="preserve">może nie stanowić pomocy publicznej – pod warunkiem spełnienia tzw. kryteriów </w:t>
      </w:r>
      <w:proofErr w:type="spellStart"/>
      <w:r w:rsidRPr="007E469E">
        <w:rPr>
          <w:rFonts w:ascii="Arial" w:hAnsi="Arial" w:cs="Arial"/>
        </w:rPr>
        <w:t>Altmark</w:t>
      </w:r>
      <w:proofErr w:type="spellEnd"/>
      <w:r w:rsidRPr="007E469E">
        <w:rPr>
          <w:rFonts w:ascii="Arial" w:hAnsi="Arial" w:cs="Arial"/>
        </w:rPr>
        <w:t>;</w:t>
      </w:r>
    </w:p>
    <w:p w:rsidR="001C278F" w:rsidRPr="007E469E" w:rsidRDefault="001C278F" w:rsidP="000C13DB">
      <w:pPr>
        <w:pStyle w:val="Akapitzlist"/>
        <w:numPr>
          <w:ilvl w:val="1"/>
          <w:numId w:val="67"/>
        </w:numPr>
        <w:spacing w:after="0" w:line="360" w:lineRule="auto"/>
        <w:jc w:val="both"/>
        <w:rPr>
          <w:rFonts w:ascii="Arial" w:hAnsi="Arial" w:cs="Arial"/>
        </w:rPr>
      </w:pPr>
      <w:r w:rsidRPr="007E469E">
        <w:rPr>
          <w:rFonts w:ascii="Arial" w:hAnsi="Arial" w:cs="Arial"/>
        </w:rPr>
        <w:t>może stanowić pomoc publiczną – niepodlegającą obowiązkowi notyfikacji – pod warunkiem spełnienia kryteriów wskazanych w Decyzji UOIG;</w:t>
      </w:r>
    </w:p>
    <w:p w:rsidR="00833A56" w:rsidRPr="00833A56" w:rsidRDefault="001C278F" w:rsidP="000C13DB">
      <w:pPr>
        <w:pStyle w:val="Akapitzlist"/>
        <w:numPr>
          <w:ilvl w:val="1"/>
          <w:numId w:val="67"/>
        </w:numPr>
        <w:spacing w:after="0" w:line="360" w:lineRule="auto"/>
        <w:jc w:val="both"/>
        <w:rPr>
          <w:rFonts w:ascii="Arial" w:hAnsi="Arial" w:cs="Arial"/>
        </w:rPr>
      </w:pPr>
      <w:r w:rsidRPr="00833A56">
        <w:rPr>
          <w:rFonts w:ascii="Arial" w:hAnsi="Arial" w:cs="Arial"/>
        </w:rPr>
        <w:t>może stanowić pomoc publiczną – podlegająca obowiązkowi notyfikacji KE – w związku z niespełnieniem wszystkich warunków w Decyzji UOIG, a spełnieni</w:t>
      </w:r>
      <w:r w:rsidR="00A34C99">
        <w:rPr>
          <w:rFonts w:ascii="Arial" w:hAnsi="Arial" w:cs="Arial"/>
        </w:rPr>
        <w:t>em</w:t>
      </w:r>
      <w:r w:rsidRPr="00833A56">
        <w:rPr>
          <w:rFonts w:ascii="Arial" w:hAnsi="Arial" w:cs="Arial"/>
        </w:rPr>
        <w:t xml:space="preserve"> Zasad ramowych UOIG.</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Każdy z ww. rodzajów pomocy charakteryzuje się pewnymi szczegółowymi dla siebie warunkami. Niemniej, dla większości rodzajów pomocy wskazanych w pkt 2 a)-</w:t>
      </w:r>
      <w:r w:rsidR="00A97770">
        <w:rPr>
          <w:rFonts w:ascii="Arial" w:hAnsi="Arial" w:cs="Arial"/>
        </w:rPr>
        <w:t>d)</w:t>
      </w:r>
      <w:r w:rsidRPr="00A2693A">
        <w:rPr>
          <w:rFonts w:ascii="Arial" w:hAnsi="Arial" w:cs="Arial"/>
        </w:rPr>
        <w:t xml:space="preserve">, </w:t>
      </w:r>
      <w:r w:rsidR="00A97770">
        <w:rPr>
          <w:rFonts w:ascii="Arial" w:hAnsi="Arial" w:cs="Arial"/>
        </w:rPr>
        <w:t>oraz</w:t>
      </w:r>
      <w:r w:rsidRPr="00A2693A">
        <w:rPr>
          <w:rFonts w:ascii="Arial" w:hAnsi="Arial" w:cs="Arial"/>
        </w:rPr>
        <w:t xml:space="preserve"> pkt 3 b)-c), istnieją pewne warunki wspólne, tj.:</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spełnienia przez planowaną pomoc tzw. efektu zachęty,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przestrzegania zasad kumulacji pomocy,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deklaracji przez podmiot ubiegający się o pomoc odpowiadający obowiązkowi weryfikacji przez podmiot udzielający pomocy: statusu przedsiębiorstwa (wnioskodawcy),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dyskontowania.</w:t>
      </w:r>
    </w:p>
    <w:p w:rsidR="001C278F" w:rsidRPr="007E469E" w:rsidRDefault="001C278F" w:rsidP="00A2693A">
      <w:pPr>
        <w:pStyle w:val="Akapitzlist"/>
        <w:spacing w:before="120" w:after="120" w:line="360" w:lineRule="auto"/>
        <w:ind w:left="360"/>
        <w:jc w:val="both"/>
        <w:rPr>
          <w:rFonts w:ascii="Arial" w:hAnsi="Arial" w:cs="Arial"/>
        </w:rPr>
      </w:pPr>
      <w:r w:rsidRPr="007E469E">
        <w:rPr>
          <w:rFonts w:ascii="Arial" w:hAnsi="Arial" w:cs="Arial"/>
        </w:rPr>
        <w:t xml:space="preserve">Warunki te zostały szczegółowo omówione w punktach poniżej. </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Obowiązek spełnienia przez planowaną pomoc tzw. efektu zachęty</w:t>
      </w:r>
      <w:r w:rsidR="00077774">
        <w:rPr>
          <w:rStyle w:val="Odwoanieprzypisudolnego"/>
          <w:rFonts w:ascii="Arial" w:hAnsi="Arial" w:cs="Arial"/>
        </w:rPr>
        <w:footnoteReference w:id="10"/>
      </w:r>
      <w:r w:rsidRPr="00A2693A">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Pr>
          <w:rFonts w:ascii="Arial" w:hAnsi="Arial" w:cs="Arial"/>
        </w:rPr>
        <w:t>,</w:t>
      </w:r>
      <w:r w:rsidRPr="00A2693A">
        <w:rPr>
          <w:rFonts w:ascii="Arial" w:hAnsi="Arial" w:cs="Arial"/>
        </w:rPr>
        <w:t xml:space="preserve"> albo nie zostałaby w ogóle zrealizowana, bez pomocy ze strony państwa (bez udzielenia na dany projekt pomocy publicznej).</w:t>
      </w:r>
      <w:r w:rsidR="004E6298">
        <w:rPr>
          <w:rFonts w:ascii="Arial" w:hAnsi="Arial" w:cs="Arial"/>
        </w:rPr>
        <w:t xml:space="preserve"> W</w:t>
      </w:r>
      <w:r w:rsidR="004E6298" w:rsidRPr="004E6298">
        <w:rPr>
          <w:rFonts w:ascii="Arial" w:hAnsi="Arial" w:cs="Arial"/>
        </w:rPr>
        <w:t xml:space="preserve"> przypadku pomocy de </w:t>
      </w:r>
      <w:proofErr w:type="spellStart"/>
      <w:r w:rsidR="004E6298" w:rsidRPr="004E6298">
        <w:rPr>
          <w:rFonts w:ascii="Arial" w:hAnsi="Arial" w:cs="Arial"/>
        </w:rPr>
        <w:t>minimis</w:t>
      </w:r>
      <w:proofErr w:type="spellEnd"/>
      <w:r w:rsidR="004E6298" w:rsidRPr="004E6298">
        <w:rPr>
          <w:rFonts w:ascii="Arial" w:hAnsi="Arial" w:cs="Arial"/>
        </w:rPr>
        <w:t xml:space="preserve"> </w:t>
      </w:r>
      <w:r w:rsidR="00494766">
        <w:rPr>
          <w:rFonts w:ascii="Arial" w:hAnsi="Arial" w:cs="Arial"/>
        </w:rPr>
        <w:t xml:space="preserve">oraz </w:t>
      </w:r>
      <w:r w:rsidR="00494766" w:rsidRPr="00494766">
        <w:rPr>
          <w:rFonts w:ascii="Arial" w:hAnsi="Arial" w:cs="Arial"/>
        </w:rPr>
        <w:t>pomoc</w:t>
      </w:r>
      <w:r w:rsidR="00494766">
        <w:rPr>
          <w:rFonts w:ascii="Arial" w:hAnsi="Arial" w:cs="Arial"/>
        </w:rPr>
        <w:t>y</w:t>
      </w:r>
      <w:r w:rsidR="00494766" w:rsidRPr="00494766">
        <w:rPr>
          <w:rFonts w:ascii="Arial" w:hAnsi="Arial" w:cs="Arial"/>
        </w:rPr>
        <w:t xml:space="preserve"> na kulturę i zachowanie dziedzictwa kulturowego</w:t>
      </w:r>
      <w:r w:rsidR="00494766">
        <w:rPr>
          <w:rFonts w:ascii="Arial" w:hAnsi="Arial" w:cs="Arial"/>
        </w:rPr>
        <w:t xml:space="preserve"> </w:t>
      </w:r>
      <w:r w:rsidR="004E6298" w:rsidRPr="004E6298">
        <w:rPr>
          <w:rFonts w:ascii="Arial" w:hAnsi="Arial" w:cs="Arial"/>
        </w:rPr>
        <w:t>nie ma obowiązku spełnienia efektu zachęty</w:t>
      </w:r>
      <w:r w:rsidR="004E6298">
        <w:rPr>
          <w:rFonts w:ascii="Arial" w:hAnsi="Arial" w:cs="Arial"/>
        </w:rPr>
        <w:t>.</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W przypadku rodzajów pomocy</w:t>
      </w:r>
      <w:r w:rsidR="00494766">
        <w:rPr>
          <w:rFonts w:ascii="Arial" w:hAnsi="Arial" w:cs="Arial"/>
        </w:rPr>
        <w:t xml:space="preserve"> </w:t>
      </w:r>
      <w:r w:rsidR="00494766" w:rsidRPr="00494766">
        <w:rPr>
          <w:rFonts w:ascii="Arial" w:hAnsi="Arial" w:cs="Arial"/>
        </w:rPr>
        <w:t>wskazanych w pkt 2)</w:t>
      </w:r>
      <w:r w:rsidRPr="00A2693A">
        <w:rPr>
          <w:rFonts w:ascii="Arial" w:hAnsi="Arial" w:cs="Arial"/>
        </w:rPr>
        <w:t xml:space="preserve">, dla których unijną podstawą prawną jest </w:t>
      </w:r>
      <w:r w:rsidR="005F0287">
        <w:rPr>
          <w:rFonts w:ascii="Arial" w:hAnsi="Arial" w:cs="Arial"/>
        </w:rPr>
        <w:t>r</w:t>
      </w:r>
      <w:r w:rsidR="005F0287" w:rsidRPr="00A2693A">
        <w:rPr>
          <w:rFonts w:ascii="Arial" w:hAnsi="Arial" w:cs="Arial"/>
        </w:rPr>
        <w:t xml:space="preserve">ozporządzenie </w:t>
      </w:r>
      <w:r w:rsidRPr="00A2693A">
        <w:rPr>
          <w:rFonts w:ascii="Arial" w:hAnsi="Arial" w:cs="Arial"/>
        </w:rPr>
        <w:t xml:space="preserve">KE nr 651/2014 </w:t>
      </w:r>
      <w:r w:rsidR="00494766" w:rsidRPr="00494766">
        <w:rPr>
          <w:rFonts w:ascii="Arial" w:hAnsi="Arial" w:cs="Arial"/>
        </w:rPr>
        <w:t xml:space="preserve">(z wyłączeniem </w:t>
      </w:r>
      <w:proofErr w:type="spellStart"/>
      <w:r w:rsidR="00494766" w:rsidRPr="00494766">
        <w:rPr>
          <w:rFonts w:ascii="Arial" w:hAnsi="Arial" w:cs="Arial"/>
        </w:rPr>
        <w:t>pomcy</w:t>
      </w:r>
      <w:proofErr w:type="spellEnd"/>
      <w:r w:rsidR="00494766" w:rsidRPr="00494766">
        <w:rPr>
          <w:rFonts w:ascii="Arial" w:hAnsi="Arial" w:cs="Arial"/>
        </w:rPr>
        <w:t xml:space="preserve"> na kulturę i zachowanie dziedzictwa kulturowego) </w:t>
      </w:r>
      <w:r w:rsidRPr="00A2693A">
        <w:rPr>
          <w:rFonts w:ascii="Arial" w:hAnsi="Arial" w:cs="Arial"/>
        </w:rPr>
        <w:t xml:space="preserve">spełnienie przez planowaną pomoc efektu zachęty weryfikowane jest poprzez fakt, iż wnioskodawca powstrzymał się z </w:t>
      </w:r>
      <w:r w:rsidR="00A34C99">
        <w:rPr>
          <w:rFonts w:ascii="Arial" w:hAnsi="Arial" w:cs="Arial"/>
        </w:rPr>
        <w:t xml:space="preserve">rozpoczęciem </w:t>
      </w:r>
      <w:r w:rsidRPr="00A2693A">
        <w:rPr>
          <w:rFonts w:ascii="Arial" w:hAnsi="Arial" w:cs="Arial"/>
        </w:rPr>
        <w:t>prac nad projektem do czasu złożenia wniosku o przyznanie pomocy (dofinasowanie). Warunek ten dotyczy wszystkich podmiotów – zarówno MŚP, jak i dużych przedsiębiorstw</w:t>
      </w:r>
      <w:r w:rsidRPr="00132869">
        <w:rPr>
          <w:rFonts w:ascii="Arial" w:hAnsi="Arial"/>
          <w:vertAlign w:val="superscript"/>
        </w:rPr>
        <w:footnoteReference w:id="11"/>
      </w:r>
      <w:r w:rsidR="004D07F4">
        <w:rPr>
          <w:rFonts w:ascii="Arial" w:hAnsi="Arial" w:cs="Arial"/>
        </w:rPr>
        <w:t>.</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 xml:space="preserve">W stosunku do dużych przedsiębiorstw, którym ma być udzielona pomoc ad hoc na podstawie </w:t>
      </w:r>
      <w:r w:rsidR="005F0287">
        <w:rPr>
          <w:rFonts w:ascii="Arial" w:hAnsi="Arial" w:cs="Arial"/>
        </w:rPr>
        <w:t>r</w:t>
      </w:r>
      <w:r w:rsidR="005F0287" w:rsidRPr="00A2693A">
        <w:rPr>
          <w:rFonts w:ascii="Arial" w:hAnsi="Arial" w:cs="Arial"/>
        </w:rPr>
        <w:t xml:space="preserve">ozporządzenia </w:t>
      </w:r>
      <w:r w:rsidRPr="00A2693A">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Pr="00132869" w:rsidRDefault="001C278F" w:rsidP="008A69F7">
      <w:pPr>
        <w:pStyle w:val="Akapitzlist"/>
        <w:numPr>
          <w:ilvl w:val="0"/>
          <w:numId w:val="16"/>
        </w:numPr>
        <w:spacing w:before="120" w:after="120" w:line="360" w:lineRule="auto"/>
        <w:jc w:val="both"/>
        <w:rPr>
          <w:rFonts w:ascii="Arial" w:hAnsi="Arial" w:cs="Arial"/>
        </w:rPr>
      </w:pPr>
      <w:r w:rsidRPr="00132869">
        <w:rPr>
          <w:rFonts w:ascii="Arial" w:hAnsi="Arial" w:cs="Arial"/>
        </w:rPr>
        <w:t xml:space="preserve">Przez rozpoczęcie prac w rozumieniu </w:t>
      </w:r>
      <w:r w:rsidR="005F0287">
        <w:rPr>
          <w:rFonts w:ascii="Arial" w:hAnsi="Arial" w:cs="Arial"/>
        </w:rPr>
        <w:t>r</w:t>
      </w:r>
      <w:r w:rsidR="005F0287" w:rsidRPr="00132869">
        <w:rPr>
          <w:rFonts w:ascii="Arial" w:hAnsi="Arial" w:cs="Arial"/>
        </w:rPr>
        <w:t xml:space="preserve">ozporządzenia </w:t>
      </w:r>
      <w:r w:rsidRPr="00132869">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W zakresie samych prac budowlanych –  należy odwoływać się do regulacji ustawy z dnia 7 lipca 1994 r. Prawo budowlane (Dz.</w:t>
      </w:r>
      <w:r w:rsidR="00A34C99">
        <w:rPr>
          <w:rFonts w:cs="Arial"/>
          <w:bCs w:val="0"/>
          <w:szCs w:val="22"/>
        </w:rPr>
        <w:t xml:space="preserve"> </w:t>
      </w:r>
      <w:r w:rsidRPr="00DD79AE">
        <w:rPr>
          <w:rFonts w:cs="Arial"/>
          <w:bCs w:val="0"/>
          <w:szCs w:val="22"/>
        </w:rPr>
        <w:t xml:space="preserve">U. z 2013 r., poz. 1409, z </w:t>
      </w:r>
      <w:proofErr w:type="spellStart"/>
      <w:r w:rsidRPr="00DD79AE">
        <w:rPr>
          <w:rFonts w:cs="Arial"/>
          <w:bCs w:val="0"/>
          <w:szCs w:val="22"/>
        </w:rPr>
        <w:t>późn</w:t>
      </w:r>
      <w:proofErr w:type="spellEnd"/>
      <w:r w:rsidRPr="00DD79AE">
        <w:rPr>
          <w:rFonts w:cs="Arial"/>
          <w:bCs w:val="0"/>
          <w:szCs w:val="22"/>
        </w:rPr>
        <w:t xml:space="preserve">. zm., </w:t>
      </w:r>
      <w:proofErr w:type="spellStart"/>
      <w:r w:rsidRPr="00DD79AE">
        <w:rPr>
          <w:rFonts w:cs="Arial"/>
          <w:bCs w:val="0"/>
          <w:szCs w:val="22"/>
        </w:rPr>
        <w:t>t.j</w:t>
      </w:r>
      <w:proofErr w:type="spellEnd"/>
      <w:r w:rsidRPr="00DD79AE">
        <w:rPr>
          <w:rFonts w:cs="Arial"/>
          <w:bCs w:val="0"/>
          <w:szCs w:val="22"/>
        </w:rPr>
        <w:t xml:space="preserve">.). </w:t>
      </w:r>
      <w:r w:rsidR="00FD52C4" w:rsidRPr="00DD79AE">
        <w:rPr>
          <w:rFonts w:cs="Arial"/>
          <w:bCs w:val="0"/>
          <w:szCs w:val="22"/>
        </w:rPr>
        <w:br/>
      </w:r>
      <w:r w:rsidRPr="00DD79AE">
        <w:rPr>
          <w:rFonts w:cs="Arial"/>
          <w:bCs w:val="0"/>
          <w:szCs w:val="22"/>
        </w:rPr>
        <w:t>W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 rozpoczęcie budowy następuje z chwilą podjęcia prac przygotowawczych na terenie budowy, tj.:</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wytyczenia geodezyjnego obiektów w terenie,</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wykonania niwelacji terenu, </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zagospodarowania terenu budowy wraz z budową tymczasowych obiektów, </w:t>
      </w:r>
    </w:p>
    <w:p w:rsidR="001C278F" w:rsidRPr="00AE0B7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wykonania przyłączy do sieci infrastruktury technicznej na potrzeby budowy</w:t>
      </w:r>
      <w:r w:rsidRPr="00AE0B7E">
        <w:rPr>
          <w:rFonts w:ascii="Arial" w:hAnsi="Arial" w:cs="Arial"/>
        </w:rPr>
        <w:t>.</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Za rozpoczęcie prac budowlanych uważa się zatem: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podpisanie umowy z wykonawcą (podjęcie prawnie wiążącego zobowiązania, nawet jeżeli prace faktycznie nie rozpoczęły się).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W zakresie zamówienia (urządzeń) ruchomych środków trwałych - „pierwsze wiążące zobowiązanie” do zamówienia urządzeń/ ruchomych środków trwałych należy oceniać z punktu widzenia charakteru i treści warunków umowy, a nie z punktu widzenia jej formalnej klasyfikacji.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Obowiązek przestrzegania zasad kumulacji pomocy – różne rodzaje pomocy publicznej (a także różne rodzaje pomocy publicznej z pomocą de </w:t>
      </w:r>
      <w:proofErr w:type="spellStart"/>
      <w:r w:rsidRPr="00DD79AE">
        <w:rPr>
          <w:rFonts w:cs="Arial"/>
          <w:bCs w:val="0"/>
          <w:szCs w:val="22"/>
        </w:rPr>
        <w:t>minimis</w:t>
      </w:r>
      <w:proofErr w:type="spellEnd"/>
      <w:r w:rsidRPr="00DD79AE">
        <w:rPr>
          <w:rFonts w:cs="Arial"/>
          <w:bCs w:val="0"/>
          <w:szCs w:val="22"/>
        </w:rPr>
        <w:t xml:space="preserve">) można kumulować ze sobą w stosunku do tych samych wydatków kwalifikowalnych do poziomu najwyższej dopuszczalnej intensywności przewidzianej dla danego rodzaju pomocy publicznej. </w:t>
      </w:r>
    </w:p>
    <w:p w:rsidR="00FD52C4"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DD79AE">
        <w:rPr>
          <w:rFonts w:cs="Arial"/>
          <w:bCs w:val="0"/>
          <w:szCs w:val="22"/>
        </w:rPr>
        <w:t>minimis</w:t>
      </w:r>
      <w:proofErr w:type="spellEnd"/>
      <w:r w:rsidRPr="00DD79AE">
        <w:rPr>
          <w:rFonts w:cs="Arial"/>
          <w:bCs w:val="0"/>
          <w:szCs w:val="22"/>
        </w:rPr>
        <w:t xml:space="preserve"> – zastosowanie znajduj</w:t>
      </w:r>
      <w:r w:rsidR="00FD52C4" w:rsidRPr="00DD79AE">
        <w:rPr>
          <w:rFonts w:cs="Arial"/>
          <w:bCs w:val="0"/>
          <w:szCs w:val="22"/>
        </w:rPr>
        <w:t>e</w:t>
      </w:r>
      <w:r w:rsidRPr="00DD79AE">
        <w:rPr>
          <w:rFonts w:cs="Arial"/>
          <w:bCs w:val="0"/>
          <w:szCs w:val="22"/>
        </w:rPr>
        <w:t xml:space="preserve"> regulacj</w:t>
      </w:r>
      <w:r w:rsidR="00FD52C4" w:rsidRPr="00DD79AE">
        <w:rPr>
          <w:rFonts w:cs="Arial"/>
          <w:bCs w:val="0"/>
          <w:szCs w:val="22"/>
        </w:rPr>
        <w:t>a art. 2 ust. 2 Rozporządzenia KE nr 1407/2013</w:t>
      </w:r>
      <w:r w:rsidR="009F10D5" w:rsidRPr="00DD79AE">
        <w:rPr>
          <w:rFonts w:cs="Arial"/>
          <w:bCs w:val="0"/>
          <w:szCs w:val="22"/>
        </w:rPr>
        <w:t>, z uwzględnieniem Zalecenia Komisji 2003/361/WE z dnia 6 maja 2003 r., które dotyczy definicji przedsiębiorstw mikro, małych i średnich (Dz. Urz. L 124 z 20.5.2003, str. 36).</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Ocena statusu przedsiębiorstwa jest jednym z kluczowych aspektów decyzji instytucji przyznającej pomoc co do warunków udzielanej pomocy (m.in. w zakresie dopuszczalnej wysokości/intensywności</w:t>
      </w:r>
      <w:r w:rsidR="00A34C99">
        <w:rPr>
          <w:rFonts w:cs="Arial"/>
          <w:bCs w:val="0"/>
          <w:szCs w:val="22"/>
        </w:rPr>
        <w:t xml:space="preserve"> pomocy</w:t>
      </w:r>
      <w:r w:rsidRPr="00DD79AE">
        <w:rPr>
          <w:rFonts w:cs="Arial"/>
          <w:bCs w:val="0"/>
          <w:szCs w:val="22"/>
        </w:rPr>
        <w:t>, jak również dopuszczalności możliwości udzielania danego rodzaju pomocy w ogóle).</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Obowiązek dyskontowania – zgodnie z art. § 5 ust. 1 rozporządzenia Rady Ministrów z dnia 11 sierpnia 2004 r. w sprawie szczegółowego sposobu obliczania wartości pomocy publicznej udzielanej w różnych formach</w:t>
      </w:r>
      <w:r w:rsidRPr="00DD79AE">
        <w:rPr>
          <w:rStyle w:val="Odwoanieprzypisudolnego"/>
          <w:rFonts w:cs="Arial"/>
          <w:sz w:val="20"/>
          <w:szCs w:val="20"/>
          <w:lang w:eastAsia="en-US"/>
        </w:rPr>
        <w:footnoteReference w:id="12"/>
      </w:r>
      <w:r w:rsidRPr="00DD79AE">
        <w:rPr>
          <w:rFonts w:cs="Arial"/>
          <w:bCs w:val="0"/>
          <w:szCs w:val="22"/>
        </w:rPr>
        <w:t xml:space="preserve">: w przypadku pomocy rozłożonej w czasie, na przykład dotacji przekazywanej w transzach, przy obliczaniu EDB uwzględnia się zdyskontowaną kwotę tej pomocy. Wymóg dyskontowania, </w:t>
      </w:r>
      <w:r w:rsidRPr="00F80636">
        <w:rPr>
          <w:rFonts w:cs="Arial"/>
          <w:bCs w:val="0"/>
          <w:szCs w:val="22"/>
        </w:rPr>
        <w:t>zgodnie ze stanowiskiem Urzędu Ochrony Konkurencji i Konsumentów</w:t>
      </w:r>
      <w:r w:rsidR="00F80636" w:rsidRPr="0091631C">
        <w:rPr>
          <w:rStyle w:val="Odwoanieprzypisudolnego"/>
          <w:rFonts w:cs="Arial"/>
          <w:bCs w:val="0"/>
          <w:szCs w:val="22"/>
        </w:rPr>
        <w:footnoteReference w:id="13"/>
      </w:r>
      <w:r w:rsidRPr="00F80636">
        <w:rPr>
          <w:rFonts w:cs="Arial"/>
          <w:bCs w:val="0"/>
          <w:szCs w:val="22"/>
        </w:rPr>
        <w:t>,</w:t>
      </w:r>
      <w:r w:rsidRPr="00DD79AE">
        <w:rPr>
          <w:rFonts w:cs="Arial"/>
          <w:bCs w:val="0"/>
          <w:szCs w:val="22"/>
        </w:rPr>
        <w:t xml:space="preserve">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Default="001C278F" w:rsidP="005A373A">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W sytuacji natomiast, gdy harmonogram przekazywania kolejnych transz dotacji przewidziany w umowie o dofinasowanie nie jest sztywny i nie podlega bezwzględnej realizacji</w:t>
      </w:r>
      <w:r w:rsidRPr="00DD79AE">
        <w:rPr>
          <w:rStyle w:val="Odwoanieprzypisudolnego"/>
          <w:rFonts w:cs="Arial"/>
          <w:sz w:val="20"/>
          <w:szCs w:val="20"/>
          <w:lang w:eastAsia="en-US"/>
        </w:rPr>
        <w:footnoteReference w:id="14"/>
      </w:r>
      <w:r w:rsidRPr="00DD79AE">
        <w:rPr>
          <w:rFonts w:cs="Arial"/>
          <w:bCs w:val="0"/>
          <w:szCs w:val="22"/>
        </w:rPr>
        <w:t xml:space="preserve"> dyskontowanie pomocy nie jest konieczne. Oznacza to, iż EDB tak udzielanej pomocy równa się wartości nominalnej pomocy, czyli całkowitej kwocie dofinansowania projektu.</w:t>
      </w:r>
      <w:r w:rsidR="00EB6109">
        <w:rPr>
          <w:rFonts w:cs="Arial"/>
          <w:bCs w:val="0"/>
          <w:szCs w:val="22"/>
        </w:rPr>
        <w:t xml:space="preserve">     </w:t>
      </w:r>
    </w:p>
    <w:p w:rsidR="00C33055" w:rsidRPr="00C33055" w:rsidRDefault="00C33055" w:rsidP="00C33055">
      <w:bookmarkStart w:id="28" w:name="_Toc407115848"/>
      <w:bookmarkStart w:id="29" w:name="_Toc407116378"/>
      <w:bookmarkStart w:id="30" w:name="_Toc406509583"/>
      <w:bookmarkEnd w:id="28"/>
      <w:bookmarkEnd w:id="29"/>
    </w:p>
    <w:p w:rsidR="00903FFD" w:rsidRPr="007E469E" w:rsidRDefault="00386929"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1" w:name="_Toc428535187"/>
      <w:r w:rsidRPr="00416C45">
        <w:rPr>
          <w:rFonts w:ascii="Arial" w:hAnsi="Arial" w:cs="Arial"/>
          <w:i/>
          <w:color w:val="auto"/>
          <w:sz w:val="24"/>
          <w:szCs w:val="24"/>
        </w:rPr>
        <w:t>Wydatki ponoszone zgodnie z zasadą uczciwej konkurencji</w:t>
      </w:r>
      <w:bookmarkEnd w:id="30"/>
      <w:bookmarkEnd w:id="31"/>
      <w:r w:rsidR="00903FFD" w:rsidRPr="007E469E">
        <w:rPr>
          <w:rFonts w:ascii="Arial" w:hAnsi="Arial" w:cs="Arial"/>
          <w:i/>
          <w:color w:val="auto"/>
          <w:sz w:val="24"/>
          <w:szCs w:val="24"/>
        </w:rPr>
        <w:t xml:space="preserve"> </w:t>
      </w:r>
    </w:p>
    <w:p w:rsidR="00C40006" w:rsidRDefault="00A42F8B" w:rsidP="00AA774A">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 xml:space="preserve">Wydatki ponoszone są zgodnie z zasadą uczciwej konkurencji, o której mowa w </w:t>
      </w:r>
      <w:r w:rsidR="00012E85" w:rsidRPr="00981286">
        <w:rPr>
          <w:rFonts w:ascii="Arial" w:eastAsia="MS Mincho" w:hAnsi="Arial" w:cs="Arial"/>
          <w:i/>
          <w:lang w:eastAsia="ja-JP"/>
        </w:rPr>
        <w:t>Wytycznych horyzontalnych</w:t>
      </w:r>
      <w:r w:rsidRPr="00A42F8B">
        <w:rPr>
          <w:rFonts w:ascii="Arial" w:eastAsia="MS Mincho" w:hAnsi="Arial" w:cs="Arial"/>
          <w:lang w:eastAsia="ja-JP"/>
        </w:rPr>
        <w:t xml:space="preserve"> w podrozdziale 6.5 (Wydatki ponoszone zgodnie z zasadą uczciwej konkurencji) z uwzględnieniem dodatkowych warunków wynikających z niniejszego rozdziału </w:t>
      </w:r>
      <w:r w:rsidR="00012E85" w:rsidRPr="00981286">
        <w:rPr>
          <w:rFonts w:ascii="Arial" w:eastAsia="MS Mincho" w:hAnsi="Arial" w:cs="Arial"/>
          <w:i/>
          <w:lang w:eastAsia="ja-JP"/>
        </w:rPr>
        <w:t>Wytycznych programowych.</w:t>
      </w:r>
    </w:p>
    <w:p w:rsidR="00A42F8B" w:rsidRDefault="00012E85" w:rsidP="00AA774A">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 xml:space="preserve">Do postępowań o udzielenie zamówień publicznych na dostawy, usługi i roboty, realizowanych zgodnie z ustawą </w:t>
      </w:r>
      <w:proofErr w:type="spellStart"/>
      <w:r w:rsidRPr="00981286">
        <w:rPr>
          <w:rFonts w:ascii="Arial" w:eastAsia="MS Mincho" w:hAnsi="Arial" w:cs="Arial"/>
          <w:lang w:eastAsia="ja-JP"/>
        </w:rPr>
        <w:t>Pzp</w:t>
      </w:r>
      <w:proofErr w:type="spellEnd"/>
      <w:r w:rsidRPr="00981286">
        <w:rPr>
          <w:rFonts w:ascii="Arial" w:eastAsia="MS Mincho" w:hAnsi="Arial" w:cs="Arial"/>
          <w:lang w:eastAsia="ja-JP"/>
        </w:rPr>
        <w:t>, IZ POPC zaleca stosowanie rekomendacji wskazanych w załączniku nr 1 do</w:t>
      </w:r>
      <w:r w:rsidR="00A42F8B" w:rsidRPr="00A42F8B">
        <w:rPr>
          <w:rFonts w:ascii="Arial" w:eastAsia="MS Mincho" w:hAnsi="Arial" w:cs="Arial"/>
          <w:i/>
          <w:lang w:eastAsia="ja-JP"/>
        </w:rPr>
        <w:t xml:space="preserve"> Wytycznych</w:t>
      </w:r>
      <w:r w:rsidR="00A42F8B">
        <w:rPr>
          <w:rFonts w:ascii="Arial" w:eastAsia="MS Mincho" w:hAnsi="Arial" w:cs="Arial"/>
          <w:i/>
          <w:lang w:eastAsia="ja-JP"/>
        </w:rPr>
        <w:t xml:space="preserve"> programowych.</w:t>
      </w:r>
    </w:p>
    <w:p w:rsidR="00A42F8B" w:rsidRDefault="00012E85" w:rsidP="00AA774A">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Przykładowy wykaz często spotykanych nieprawidłowości w zakresie zamówień publicznych został opisany w załączniku nr 2 do</w:t>
      </w:r>
      <w:r w:rsidR="00A42F8B" w:rsidRPr="00A42F8B">
        <w:rPr>
          <w:rFonts w:ascii="Arial" w:eastAsia="MS Mincho" w:hAnsi="Arial" w:cs="Arial"/>
          <w:i/>
          <w:lang w:eastAsia="ja-JP"/>
        </w:rPr>
        <w:t xml:space="preserve"> Wytycznych</w:t>
      </w:r>
      <w:r w:rsidR="00A42F8B">
        <w:rPr>
          <w:rFonts w:ascii="Arial" w:eastAsia="MS Mincho" w:hAnsi="Arial" w:cs="Arial"/>
          <w:i/>
          <w:lang w:eastAsia="ja-JP"/>
        </w:rPr>
        <w:t xml:space="preserve"> programowych.</w:t>
      </w:r>
    </w:p>
    <w:p w:rsidR="00A42F8B" w:rsidRPr="00981286" w:rsidRDefault="00A42F8B" w:rsidP="00AA774A">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Załącznik nr 3 zawiera zestawienie regulacji w zakresie zasady uczciwej konkurencji w odniesieniu do konieczności stosowania przez zamawiającego określonej ścieżki</w:t>
      </w:r>
      <w:r>
        <w:rPr>
          <w:rFonts w:ascii="Arial" w:eastAsia="MS Mincho" w:hAnsi="Arial" w:cs="Arial"/>
          <w:lang w:eastAsia="ja-JP"/>
        </w:rPr>
        <w:t xml:space="preserve"> postępowania.</w:t>
      </w:r>
    </w:p>
    <w:p w:rsidR="00D75851" w:rsidRDefault="00012E85" w:rsidP="00981286">
      <w:pPr>
        <w:pStyle w:val="Nagwek3"/>
        <w:numPr>
          <w:ilvl w:val="2"/>
          <w:numId w:val="1"/>
        </w:numPr>
        <w:spacing w:before="240" w:after="60" w:line="360" w:lineRule="auto"/>
        <w:jc w:val="center"/>
        <w:rPr>
          <w:rFonts w:ascii="Arial" w:hAnsi="Arial" w:cs="Arial"/>
          <w:i/>
          <w:sz w:val="24"/>
          <w:szCs w:val="24"/>
        </w:rPr>
      </w:pPr>
      <w:bookmarkStart w:id="32" w:name="_Toc428535188"/>
      <w:r w:rsidRPr="00981286">
        <w:rPr>
          <w:rFonts w:ascii="Arial" w:hAnsi="Arial" w:cs="Arial"/>
          <w:b w:val="0"/>
          <w:i/>
          <w:color w:val="auto"/>
          <w:sz w:val="24"/>
          <w:szCs w:val="24"/>
        </w:rPr>
        <w:t>Zasady ogólne</w:t>
      </w:r>
      <w:bookmarkEnd w:id="32"/>
    </w:p>
    <w:p w:rsidR="00A42F8B"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Zasady</w:t>
      </w:r>
      <w:r>
        <w:rPr>
          <w:rFonts w:ascii="Arial" w:eastAsia="MS Mincho" w:hAnsi="Arial" w:cs="Arial"/>
          <w:lang w:eastAsia="ja-JP"/>
        </w:rPr>
        <w:t>,</w:t>
      </w:r>
      <w:r w:rsidRPr="005A373A">
        <w:rPr>
          <w:rFonts w:ascii="Arial" w:eastAsia="MS Mincho" w:hAnsi="Arial" w:cs="Arial"/>
          <w:lang w:eastAsia="ja-JP"/>
        </w:rPr>
        <w:t xml:space="preserve"> </w:t>
      </w:r>
      <w:r w:rsidRPr="001D1AED">
        <w:rPr>
          <w:rFonts w:ascii="Arial" w:eastAsia="MS Mincho" w:hAnsi="Arial" w:cs="Arial"/>
          <w:lang w:eastAsia="ja-JP"/>
        </w:rPr>
        <w:t xml:space="preserve">zgodnie z którymi udzielane </w:t>
      </w:r>
      <w:r>
        <w:rPr>
          <w:rFonts w:ascii="Arial" w:eastAsia="MS Mincho" w:hAnsi="Arial" w:cs="Arial"/>
          <w:lang w:eastAsia="ja-JP"/>
        </w:rPr>
        <w:t>są</w:t>
      </w:r>
      <w:r w:rsidRPr="001D1AED">
        <w:rPr>
          <w:rFonts w:ascii="Arial" w:eastAsia="MS Mincho" w:hAnsi="Arial" w:cs="Arial"/>
          <w:lang w:eastAsia="ja-JP"/>
        </w:rPr>
        <w:t xml:space="preserve"> zamówieni</w:t>
      </w:r>
      <w:r>
        <w:rPr>
          <w:rFonts w:ascii="Arial" w:eastAsia="MS Mincho" w:hAnsi="Arial" w:cs="Arial"/>
          <w:lang w:eastAsia="ja-JP"/>
        </w:rPr>
        <w:t>a</w:t>
      </w:r>
      <w:r w:rsidRPr="001D1AED">
        <w:rPr>
          <w:rFonts w:ascii="Arial" w:eastAsia="MS Mincho" w:hAnsi="Arial" w:cs="Arial"/>
          <w:lang w:eastAsia="ja-JP"/>
        </w:rPr>
        <w:t xml:space="preserve"> publiczne muszą gwarantować uczciwą konkurencję</w:t>
      </w:r>
      <w:r>
        <w:rPr>
          <w:rFonts w:ascii="Arial" w:eastAsia="MS Mincho" w:hAnsi="Arial" w:cs="Arial"/>
          <w:lang w:eastAsia="ja-JP"/>
        </w:rPr>
        <w:t>,</w:t>
      </w:r>
      <w:r w:rsidRPr="001D1AED">
        <w:rPr>
          <w:rFonts w:ascii="Arial" w:eastAsia="MS Mincho" w:hAnsi="Arial" w:cs="Arial"/>
          <w:lang w:eastAsia="ja-JP"/>
        </w:rPr>
        <w:t xml:space="preserve"> równe traktowania</w:t>
      </w:r>
      <w:r>
        <w:rPr>
          <w:rFonts w:ascii="Arial" w:eastAsia="MS Mincho" w:hAnsi="Arial" w:cs="Arial"/>
          <w:lang w:eastAsia="ja-JP"/>
        </w:rPr>
        <w:t xml:space="preserve"> wykonawców</w:t>
      </w:r>
      <w:r w:rsidRPr="001D1AED">
        <w:rPr>
          <w:rFonts w:ascii="Arial" w:eastAsia="MS Mincho" w:hAnsi="Arial" w:cs="Arial"/>
          <w:lang w:eastAsia="ja-JP"/>
        </w:rPr>
        <w:t>, niedyskryminacj</w:t>
      </w:r>
      <w:r>
        <w:rPr>
          <w:rFonts w:ascii="Arial" w:eastAsia="MS Mincho" w:hAnsi="Arial" w:cs="Arial"/>
          <w:lang w:eastAsia="ja-JP"/>
        </w:rPr>
        <w:t>ę</w:t>
      </w:r>
      <w:r w:rsidRPr="001D1AED">
        <w:rPr>
          <w:rFonts w:ascii="Arial" w:eastAsia="MS Mincho" w:hAnsi="Arial" w:cs="Arial"/>
          <w:lang w:eastAsia="ja-JP"/>
        </w:rPr>
        <w:t>, wzajemne uznawani</w:t>
      </w:r>
      <w:r>
        <w:rPr>
          <w:rFonts w:ascii="Arial" w:eastAsia="MS Mincho" w:hAnsi="Arial" w:cs="Arial"/>
          <w:lang w:eastAsia="ja-JP"/>
        </w:rPr>
        <w:t>e</w:t>
      </w:r>
      <w:r w:rsidRPr="001D1AED">
        <w:rPr>
          <w:rFonts w:ascii="Arial" w:eastAsia="MS Mincho" w:hAnsi="Arial" w:cs="Arial"/>
          <w:lang w:eastAsia="ja-JP"/>
        </w:rPr>
        <w:t>, proporcjonalnoś</w:t>
      </w:r>
      <w:r>
        <w:rPr>
          <w:rFonts w:ascii="Arial" w:eastAsia="MS Mincho" w:hAnsi="Arial" w:cs="Arial"/>
          <w:lang w:eastAsia="ja-JP"/>
        </w:rPr>
        <w:t>ć</w:t>
      </w:r>
      <w:r w:rsidRPr="001D1AED">
        <w:rPr>
          <w:rFonts w:ascii="Arial" w:eastAsia="MS Mincho" w:hAnsi="Arial" w:cs="Arial"/>
          <w:lang w:eastAsia="ja-JP"/>
        </w:rPr>
        <w:t xml:space="preserve"> oraz przejrzystoś</w:t>
      </w:r>
      <w:r>
        <w:rPr>
          <w:rFonts w:ascii="Arial" w:eastAsia="MS Mincho" w:hAnsi="Arial" w:cs="Arial"/>
          <w:lang w:eastAsia="ja-JP"/>
        </w:rPr>
        <w:t xml:space="preserve">ć. </w:t>
      </w:r>
    </w:p>
    <w:p w:rsidR="00A42F8B" w:rsidRPr="005A373A"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 xml:space="preserve">Dokumentacja zamówienia publicznego, powinna zawierać jednoznaczny i wyczerpujący opis przedmiotu zamówienia publicznego. </w:t>
      </w:r>
    </w:p>
    <w:p w:rsidR="00A42F8B" w:rsidRPr="005A373A" w:rsidRDefault="00A42F8B" w:rsidP="00A42F8B">
      <w:pPr>
        <w:numPr>
          <w:ilvl w:val="0"/>
          <w:numId w:val="125"/>
        </w:numPr>
        <w:spacing w:before="120" w:after="120" w:line="360" w:lineRule="auto"/>
        <w:ind w:left="403" w:hanging="403"/>
        <w:jc w:val="both"/>
        <w:rPr>
          <w:rFonts w:ascii="Arial" w:eastAsia="MS Mincho" w:hAnsi="Arial" w:cs="Arial"/>
          <w:lang w:eastAsia="ja-JP"/>
        </w:rPr>
      </w:pPr>
      <w:r w:rsidRPr="001E36A5">
        <w:rPr>
          <w:rFonts w:ascii="Arial" w:eastAsia="MS Mincho" w:hAnsi="Arial" w:cs="Arial"/>
          <w:lang w:eastAsia="ja-JP"/>
        </w:rPr>
        <w:t>Podczas trwania procedury</w:t>
      </w:r>
      <w:r w:rsidRPr="005A373A">
        <w:rPr>
          <w:rFonts w:ascii="Arial" w:eastAsia="MS Mincho" w:hAnsi="Arial" w:cs="Arial"/>
          <w:lang w:eastAsia="ja-JP"/>
        </w:rPr>
        <w:t xml:space="preserve"> udzielania zamówienia publicznego wszelkie kontakty między instytucją zamawiającą a oferentami muszą spełniać warunki gwarantujące </w:t>
      </w:r>
      <w:r>
        <w:rPr>
          <w:rFonts w:ascii="Arial" w:eastAsia="MS Mincho" w:hAnsi="Arial" w:cs="Arial"/>
          <w:lang w:eastAsia="ja-JP"/>
        </w:rPr>
        <w:t>zachowanie ww. zasad</w:t>
      </w:r>
      <w:r w:rsidRPr="005A373A">
        <w:rPr>
          <w:rFonts w:ascii="Arial" w:eastAsia="MS Mincho" w:hAnsi="Arial" w:cs="Arial"/>
          <w:lang w:eastAsia="ja-JP"/>
        </w:rPr>
        <w:t xml:space="preserve">. </w:t>
      </w:r>
      <w:r>
        <w:rPr>
          <w:rFonts w:ascii="Arial" w:eastAsia="MS Mincho" w:hAnsi="Arial" w:cs="Arial"/>
          <w:lang w:eastAsia="ja-JP"/>
        </w:rPr>
        <w:t>Za niezgodne z ww. zasadami</w:t>
      </w:r>
      <w:r w:rsidRPr="005A373A">
        <w:rPr>
          <w:rFonts w:ascii="Arial" w:eastAsia="MS Mincho" w:hAnsi="Arial" w:cs="Arial"/>
          <w:lang w:eastAsia="ja-JP"/>
        </w:rPr>
        <w:t xml:space="preserve"> uznaje się przekazywanie wybranym (niektórym) oferentom określonych informacji dotyczących prowadzonego postępowania, które mogą stawiać ich w uprzywilejowanej pozycji w stosunku do innych podmiotów uczestniczących w postępowaniu</w:t>
      </w:r>
      <w:r>
        <w:rPr>
          <w:rFonts w:ascii="Arial" w:eastAsia="MS Mincho" w:hAnsi="Arial" w:cs="Arial"/>
          <w:lang w:eastAsia="ja-JP"/>
        </w:rPr>
        <w:t>.</w:t>
      </w:r>
    </w:p>
    <w:p w:rsidR="00A42F8B" w:rsidRPr="00E96833" w:rsidRDefault="00A42F8B" w:rsidP="00A42F8B">
      <w:pPr>
        <w:numPr>
          <w:ilvl w:val="0"/>
          <w:numId w:val="125"/>
        </w:numPr>
        <w:spacing w:before="120" w:after="120" w:line="360" w:lineRule="auto"/>
        <w:ind w:left="426"/>
        <w:jc w:val="both"/>
        <w:rPr>
          <w:rFonts w:ascii="Arial" w:hAnsi="Arial" w:cs="Arial"/>
        </w:rPr>
      </w:pPr>
      <w:r>
        <w:rPr>
          <w:rFonts w:ascii="Arial" w:eastAsia="MS Mincho" w:hAnsi="Arial" w:cs="Arial"/>
          <w:lang w:eastAsia="ja-JP"/>
        </w:rPr>
        <w:t xml:space="preserve">Udzielenie zamówienia publicznego, w tym przygotowanie postępowania o udzielenie zamówienia publicznego oraz jego przeprowadzenie, </w:t>
      </w:r>
      <w:r w:rsidRPr="005C7839">
        <w:rPr>
          <w:rFonts w:ascii="Arial" w:eastAsia="MS Mincho" w:hAnsi="Arial" w:cs="Arial"/>
          <w:lang w:eastAsia="ja-JP"/>
        </w:rPr>
        <w:t>wybór najkorzystniejszej spośród złożonych ofert</w:t>
      </w:r>
      <w:r>
        <w:rPr>
          <w:rFonts w:ascii="Arial" w:eastAsia="MS Mincho" w:hAnsi="Arial" w:cs="Arial"/>
          <w:lang w:eastAsia="ja-JP"/>
        </w:rPr>
        <w:t>,</w:t>
      </w:r>
      <w:r w:rsidRPr="005C7839">
        <w:rPr>
          <w:rFonts w:ascii="Arial" w:eastAsia="MS Mincho" w:hAnsi="Arial" w:cs="Arial"/>
          <w:lang w:eastAsia="ja-JP"/>
        </w:rPr>
        <w:t xml:space="preserve"> </w:t>
      </w:r>
      <w:r>
        <w:rPr>
          <w:rFonts w:ascii="Arial" w:eastAsia="MS Mincho" w:hAnsi="Arial" w:cs="Arial"/>
          <w:lang w:eastAsia="ja-JP"/>
        </w:rPr>
        <w:t>powinny</w:t>
      </w:r>
      <w:r w:rsidRPr="005C7839">
        <w:rPr>
          <w:rFonts w:ascii="Arial" w:eastAsia="MS Mincho" w:hAnsi="Arial" w:cs="Arial"/>
          <w:lang w:eastAsia="ja-JP"/>
        </w:rPr>
        <w:t xml:space="preserve"> być </w:t>
      </w:r>
      <w:r>
        <w:rPr>
          <w:rFonts w:ascii="Arial" w:eastAsia="MS Mincho" w:hAnsi="Arial" w:cs="Arial"/>
          <w:lang w:eastAsia="ja-JP"/>
        </w:rPr>
        <w:t xml:space="preserve">odpowiednio </w:t>
      </w:r>
      <w:r w:rsidRPr="005C7839">
        <w:rPr>
          <w:rFonts w:ascii="Arial" w:eastAsia="MS Mincho" w:hAnsi="Arial" w:cs="Arial"/>
          <w:lang w:eastAsia="ja-JP"/>
        </w:rPr>
        <w:t>udokumentowan</w:t>
      </w:r>
      <w:r>
        <w:rPr>
          <w:rFonts w:ascii="Arial" w:eastAsia="MS Mincho" w:hAnsi="Arial" w:cs="Arial"/>
          <w:lang w:eastAsia="ja-JP"/>
        </w:rPr>
        <w:t>e</w:t>
      </w:r>
      <w:r w:rsidRPr="005C7839">
        <w:rPr>
          <w:rFonts w:ascii="Arial" w:eastAsia="MS Mincho" w:hAnsi="Arial" w:cs="Arial"/>
          <w:lang w:eastAsia="ja-JP"/>
        </w:rPr>
        <w:t xml:space="preserve"> oraz dokonan</w:t>
      </w:r>
      <w:r>
        <w:rPr>
          <w:rFonts w:ascii="Arial" w:eastAsia="MS Mincho" w:hAnsi="Arial" w:cs="Arial"/>
          <w:lang w:eastAsia="ja-JP"/>
        </w:rPr>
        <w:t>e</w:t>
      </w:r>
      <w:r w:rsidRPr="005C7839">
        <w:rPr>
          <w:rFonts w:ascii="Arial" w:eastAsia="MS Mincho" w:hAnsi="Arial" w:cs="Arial"/>
          <w:lang w:eastAsia="ja-JP"/>
        </w:rPr>
        <w:t xml:space="preserve"> w sposób, który nie mieści się w definicji konfliktu interesów. </w:t>
      </w:r>
      <w:r w:rsidRPr="005A373A">
        <w:rPr>
          <w:rFonts w:ascii="Arial" w:eastAsia="MS Mincho" w:hAnsi="Arial" w:cs="Arial"/>
          <w:lang w:eastAsia="ja-JP"/>
        </w:rPr>
        <w:t>Czynności związane z zamówieniem publicznym powinny być dokonywane w formie pisemnej</w:t>
      </w:r>
      <w:r>
        <w:rPr>
          <w:rStyle w:val="Odwoanieprzypisudolnego"/>
          <w:rFonts w:ascii="Arial" w:eastAsia="MS Mincho" w:hAnsi="Arial" w:cs="Arial"/>
          <w:lang w:eastAsia="ja-JP"/>
        </w:rPr>
        <w:footnoteReference w:id="15"/>
      </w:r>
      <w:r>
        <w:rPr>
          <w:rFonts w:ascii="Arial" w:eastAsia="MS Mincho" w:hAnsi="Arial" w:cs="Arial"/>
          <w:lang w:eastAsia="ja-JP"/>
        </w:rPr>
        <w:t xml:space="preserve">. </w:t>
      </w:r>
    </w:p>
    <w:p w:rsidR="00A42F8B" w:rsidRPr="00833A56" w:rsidRDefault="00A42F8B" w:rsidP="00A42F8B">
      <w:pPr>
        <w:numPr>
          <w:ilvl w:val="0"/>
          <w:numId w:val="125"/>
        </w:numPr>
        <w:spacing w:before="120" w:after="120" w:line="360" w:lineRule="auto"/>
        <w:ind w:left="426"/>
        <w:jc w:val="both"/>
        <w:rPr>
          <w:rFonts w:ascii="Arial" w:eastAsia="MS Mincho" w:hAnsi="Arial" w:cs="Arial"/>
          <w:lang w:eastAsia="ja-JP"/>
        </w:rPr>
      </w:pPr>
      <w:r w:rsidRPr="007E469E">
        <w:rPr>
          <w:rFonts w:ascii="Arial" w:eastAsia="MS Mincho" w:hAnsi="Arial" w:cs="Arial"/>
          <w:lang w:eastAsia="ja-JP"/>
        </w:rPr>
        <w:t xml:space="preserve">Wartość zamówień wyliczana jest w </w:t>
      </w:r>
      <w:r>
        <w:rPr>
          <w:rFonts w:ascii="Arial" w:eastAsia="MS Mincho" w:hAnsi="Arial" w:cs="Arial"/>
          <w:lang w:eastAsia="ja-JP"/>
        </w:rPr>
        <w:t>PLN</w:t>
      </w:r>
      <w:r w:rsidRPr="007E469E">
        <w:rPr>
          <w:rFonts w:ascii="Arial" w:eastAsia="MS Mincho" w:hAnsi="Arial" w:cs="Arial"/>
          <w:lang w:eastAsia="ja-JP"/>
        </w:rPr>
        <w:t xml:space="preserve"> a następnie przeliczana na </w:t>
      </w:r>
      <w:r>
        <w:rPr>
          <w:rFonts w:ascii="Arial" w:eastAsia="MS Mincho" w:hAnsi="Arial" w:cs="Arial"/>
          <w:lang w:eastAsia="ja-JP"/>
        </w:rPr>
        <w:t>EUR</w:t>
      </w:r>
      <w:r w:rsidRPr="007E469E">
        <w:rPr>
          <w:rFonts w:ascii="Arial" w:eastAsia="MS Mincho" w:hAnsi="Arial" w:cs="Arial"/>
          <w:lang w:eastAsia="ja-JP"/>
        </w:rPr>
        <w:t xml:space="preserve"> na podstawie kursu ustalonego przez Prezesa Rady Ministrów w rozporządzeniu wydanym na podstawie art. 35 ust. 3 ustawy </w:t>
      </w:r>
      <w:proofErr w:type="spellStart"/>
      <w:r w:rsidRPr="007E469E">
        <w:rPr>
          <w:rFonts w:ascii="Arial" w:eastAsia="MS Mincho" w:hAnsi="Arial" w:cs="Arial"/>
          <w:lang w:eastAsia="ja-JP"/>
        </w:rPr>
        <w:t>Pzp</w:t>
      </w:r>
      <w:proofErr w:type="spellEnd"/>
      <w:r w:rsidRPr="007E469E">
        <w:rPr>
          <w:rFonts w:ascii="Arial" w:eastAsia="MS Mincho" w:hAnsi="Arial" w:cs="Arial"/>
          <w:lang w:eastAsia="ja-JP"/>
        </w:rPr>
        <w:t xml:space="preserve"> obowiązującego na dzień dokonywania szacowania wartości zamówienia</w:t>
      </w:r>
      <w:r>
        <w:rPr>
          <w:rStyle w:val="Odwoanieprzypisudolnego"/>
          <w:rFonts w:ascii="Arial" w:eastAsia="MS Mincho" w:hAnsi="Arial" w:cs="Arial"/>
          <w:lang w:eastAsia="ja-JP"/>
        </w:rPr>
        <w:footnoteReference w:id="16"/>
      </w:r>
      <w:r>
        <w:rPr>
          <w:rFonts w:ascii="Arial" w:eastAsia="MS Mincho" w:hAnsi="Arial" w:cs="Arial"/>
          <w:lang w:eastAsia="ja-JP"/>
        </w:rPr>
        <w:t>.</w:t>
      </w:r>
    </w:p>
    <w:p w:rsidR="00D75851" w:rsidRPr="00981286" w:rsidRDefault="00012E85" w:rsidP="00981286">
      <w:pPr>
        <w:pStyle w:val="Nagwek3"/>
        <w:numPr>
          <w:ilvl w:val="2"/>
          <w:numId w:val="1"/>
        </w:numPr>
        <w:spacing w:before="240" w:after="60" w:line="360" w:lineRule="auto"/>
        <w:jc w:val="center"/>
        <w:rPr>
          <w:rFonts w:ascii="Arial" w:hAnsi="Arial" w:cs="Arial"/>
          <w:i/>
          <w:sz w:val="24"/>
          <w:szCs w:val="24"/>
        </w:rPr>
      </w:pPr>
      <w:bookmarkStart w:id="33" w:name="_Toc428535189"/>
      <w:r w:rsidRPr="00981286">
        <w:rPr>
          <w:rFonts w:ascii="Arial" w:hAnsi="Arial" w:cs="Arial"/>
          <w:b w:val="0"/>
          <w:i/>
          <w:color w:val="auto"/>
          <w:sz w:val="24"/>
          <w:szCs w:val="24"/>
        </w:rPr>
        <w:t>Szczegółowe warunki i procedury potwierdzania</w:t>
      </w:r>
      <w:r w:rsidR="0053099E">
        <w:rPr>
          <w:rFonts w:ascii="Arial" w:hAnsi="Arial" w:cs="Arial"/>
          <w:b w:val="0"/>
          <w:i/>
          <w:color w:val="auto"/>
          <w:sz w:val="24"/>
          <w:szCs w:val="24"/>
        </w:rPr>
        <w:t>,</w:t>
      </w:r>
      <w:r w:rsidRPr="00981286">
        <w:rPr>
          <w:rFonts w:ascii="Arial" w:hAnsi="Arial" w:cs="Arial"/>
          <w:b w:val="0"/>
          <w:i/>
          <w:color w:val="auto"/>
          <w:sz w:val="24"/>
          <w:szCs w:val="24"/>
        </w:rPr>
        <w:t xml:space="preserve"> że wydatek został dokonany w sposób racjonalny, efektywny, przejrzysty, z zachowaniem zasad uzyskiwania najlepszych efektów z danych nakładów</w:t>
      </w:r>
      <w:bookmarkEnd w:id="33"/>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wydatków o wartości od 20 tys. zł netto do 50 tys. zł netto (tj. bez podatku od towarów i usług VAT) włącznie oraz w przypadku zamówień publicznych, dla których nie stosuje się procedur wyboru wykonawcy, o których mowa w podrozdziale 6.5 </w:t>
      </w:r>
      <w:r w:rsidR="00012E85" w:rsidRPr="00981286">
        <w:rPr>
          <w:rFonts w:ascii="Arial" w:eastAsia="MS Mincho" w:hAnsi="Arial" w:cs="Arial"/>
          <w:i/>
          <w:lang w:eastAsia="ja-JP"/>
        </w:rPr>
        <w:t>Wytycznych horyzontalnych</w:t>
      </w:r>
      <w:r w:rsidRPr="0053099E">
        <w:rPr>
          <w:rFonts w:ascii="Arial" w:eastAsia="MS Mincho" w:hAnsi="Arial" w:cs="Arial"/>
          <w:lang w:eastAsia="ja-JP"/>
        </w:rPr>
        <w:t xml:space="preserve">, wydatek powinien być dokonany w wyniku </w:t>
      </w:r>
      <w:r w:rsidRPr="0053099E">
        <w:rPr>
          <w:rFonts w:ascii="Arial" w:eastAsia="MS Mincho" w:hAnsi="Arial" w:cs="Arial"/>
          <w:b/>
          <w:lang w:eastAsia="ja-JP"/>
        </w:rPr>
        <w:t>rozeznania rynku</w:t>
      </w:r>
      <w:r w:rsidRPr="0053099E">
        <w:rPr>
          <w:rFonts w:ascii="Arial" w:eastAsia="MS Mincho" w:hAnsi="Arial" w:cs="Arial"/>
          <w:lang w:eastAsia="ja-JP"/>
        </w:rPr>
        <w:t xml:space="preserve">. </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Rozeznanie rynku jest dokonywane poprzez:</w:t>
      </w:r>
    </w:p>
    <w:p w:rsidR="0053099E" w:rsidRPr="0053099E" w:rsidRDefault="0053099E" w:rsidP="0053099E">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upublicznienie zapytania ofertowego, które polega na umieszczeniu zapytanie ofertowego na stronie internetowej:</w:t>
      </w:r>
    </w:p>
    <w:p w:rsidR="00D75851" w:rsidRDefault="0053099E" w:rsidP="00981286">
      <w:pPr>
        <w:numPr>
          <w:ilvl w:val="0"/>
          <w:numId w:val="128"/>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 xml:space="preserve">wskazanej w komunikacie ministra właściwego ds. rozwoju regionalnego, w celu wybrania najkorzystniejszej oferty, </w:t>
      </w:r>
    </w:p>
    <w:p w:rsidR="00D75851" w:rsidRDefault="0053099E" w:rsidP="00981286">
      <w:pPr>
        <w:numPr>
          <w:ilvl w:val="0"/>
          <w:numId w:val="128"/>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do czasu uruchomienia strony internetowej, o której mowa w lit. a – wystarczające jest umieszczenie zapytania ofertowego na stronie internetowej beneficjenta, o ile taką posiada, oraz wysłanie zapytania ofertowego do co najmniej trzech potencjalnych wykonawców, o ile na rynku istnieje trzech potencjalnych wykonawców danego zamówienia.</w:t>
      </w:r>
    </w:p>
    <w:p w:rsidR="0053099E" w:rsidRPr="0053099E" w:rsidRDefault="0053099E" w:rsidP="0053099E">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wybór najkorzystniejszej spośród złożonych ofert zgodnych z zapytaniem ofertowym.</w:t>
      </w:r>
    </w:p>
    <w:p w:rsidR="0053099E" w:rsidRPr="00704E3A" w:rsidRDefault="0053099E" w:rsidP="0053099E">
      <w:pPr>
        <w:numPr>
          <w:ilvl w:val="0"/>
          <w:numId w:val="126"/>
        </w:numPr>
        <w:spacing w:before="120" w:after="120" w:line="360" w:lineRule="auto"/>
        <w:jc w:val="both"/>
        <w:rPr>
          <w:rFonts w:ascii="Arial" w:eastAsia="MS Mincho" w:hAnsi="Arial" w:cs="Arial"/>
          <w:lang w:eastAsia="ja-JP"/>
        </w:rPr>
      </w:pPr>
      <w:r w:rsidRPr="00704E3A">
        <w:rPr>
          <w:rFonts w:ascii="Arial" w:eastAsia="MS Mincho" w:hAnsi="Arial" w:cs="Arial"/>
          <w:lang w:eastAsia="ja-JP"/>
        </w:rPr>
        <w:t>Zapytanie ofertowe zawiera co najmniej opis przedmiotu zamówienia, kryteria oceny ofert oraz termin składania ofert.</w:t>
      </w:r>
      <w:r w:rsidR="00D1584A" w:rsidRPr="00704E3A">
        <w:rPr>
          <w:rFonts w:ascii="Arial" w:eastAsia="MS Mincho" w:hAnsi="Arial" w:cs="Arial"/>
          <w:lang w:eastAsia="ja-JP"/>
        </w:rPr>
        <w:t xml:space="preserve"> </w:t>
      </w:r>
      <w:r w:rsidR="00D1584A" w:rsidRPr="00704E3A">
        <w:rPr>
          <w:rFonts w:ascii="Arial" w:hAnsi="Arial" w:cs="Arial"/>
          <w:color w:val="000000"/>
        </w:rPr>
        <w:t>Termin na składanie ofert nie powinien być krótszy niż 7 dni kalendarzowych od daty upublicznienia zapytania ofertowego.</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Dokumenty potwierdzające dokonanie rozeznania rynku to w szczególności: wydruk ogłoszenia o zamówieniu zamieszczonego na stronie internetowej wraz z otrzymanymi ofertami. 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gdy pomimo właściwego upublicznienia zapytania ofertowego: </w:t>
      </w:r>
    </w:p>
    <w:p w:rsidR="0053099E" w:rsidRPr="0053099E" w:rsidRDefault="0053099E" w:rsidP="0053099E">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a) wpłynie tylko jedna nie podlegająca odrzuceniu oferta – uznaje się zasadę konkurencyjności za spełnioną, </w:t>
      </w:r>
    </w:p>
    <w:p w:rsidR="0053099E" w:rsidRPr="0053099E" w:rsidRDefault="0053099E" w:rsidP="0053099E">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b) nie wpłynie żadna oferta – dopuszcza się zawarcie umowy z wykonawcą wybranym bez zachowania procedury, o której mowa w niniejszym podrozdziale, przy czym zawarcie umowy z podmiotem powiązanym, o którym mowa w pkt 8 sekcji 6.5.3 </w:t>
      </w:r>
      <w:r w:rsidRPr="0053099E">
        <w:rPr>
          <w:rFonts w:ascii="Arial" w:eastAsia="MS Mincho" w:hAnsi="Arial" w:cs="Arial"/>
          <w:i/>
          <w:lang w:eastAsia="ja-JP"/>
        </w:rPr>
        <w:t>Wytycznych horyzontalnych</w:t>
      </w:r>
      <w:r w:rsidRPr="0053099E">
        <w:rPr>
          <w:rFonts w:ascii="Arial" w:eastAsia="MS Mincho" w:hAnsi="Arial" w:cs="Arial"/>
          <w:lang w:eastAsia="ja-JP"/>
        </w:rPr>
        <w:t xml:space="preserve"> jest dopuszczalne wyłącznie za zgodą IP</w:t>
      </w:r>
      <w:r>
        <w:rPr>
          <w:rFonts w:ascii="Arial" w:eastAsia="MS Mincho" w:hAnsi="Arial" w:cs="Arial"/>
          <w:lang w:eastAsia="ja-JP"/>
        </w:rPr>
        <w:t xml:space="preserve"> POPC</w:t>
      </w:r>
      <w:r w:rsidRPr="0053099E">
        <w:rPr>
          <w:rFonts w:ascii="Arial" w:eastAsia="MS Mincho" w:hAnsi="Arial" w:cs="Arial"/>
          <w:lang w:eastAsia="ja-JP"/>
        </w:rPr>
        <w:t xml:space="preserve"> będącej stroną umowy oraz jeżeli podmiot powiązany spełnia warunki, o których mowa w pkt 5 lit. a </w:t>
      </w:r>
      <w:proofErr w:type="spellStart"/>
      <w:r w:rsidRPr="0053099E">
        <w:rPr>
          <w:rFonts w:ascii="Arial" w:eastAsia="MS Mincho" w:hAnsi="Arial" w:cs="Arial"/>
          <w:lang w:eastAsia="ja-JP"/>
        </w:rPr>
        <w:t>tiret</w:t>
      </w:r>
      <w:proofErr w:type="spellEnd"/>
      <w:r w:rsidRPr="0053099E">
        <w:rPr>
          <w:rFonts w:ascii="Arial" w:eastAsia="MS Mincho" w:hAnsi="Arial" w:cs="Arial"/>
          <w:lang w:eastAsia="ja-JP"/>
        </w:rPr>
        <w:t xml:space="preserve"> ii sekcji 6.5.3 </w:t>
      </w:r>
      <w:r w:rsidR="00012E85" w:rsidRPr="00981286">
        <w:rPr>
          <w:rFonts w:ascii="Arial" w:eastAsia="MS Mincho" w:hAnsi="Arial" w:cs="Arial"/>
          <w:i/>
          <w:lang w:eastAsia="ja-JP"/>
        </w:rPr>
        <w:t>Wytycznych horyzontalnych</w:t>
      </w:r>
      <w:r w:rsidRPr="0053099E">
        <w:rPr>
          <w:rFonts w:ascii="Arial" w:eastAsia="MS Mincho" w:hAnsi="Arial" w:cs="Arial"/>
          <w:lang w:eastAsia="ja-JP"/>
        </w:rPr>
        <w:t>.</w:t>
      </w:r>
    </w:p>
    <w:p w:rsidR="0053099E" w:rsidRP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Umowy z wykonawcami są zawierane w formie pisemnej. </w:t>
      </w:r>
    </w:p>
    <w:p w:rsidR="0053099E" w:rsidRDefault="0053099E" w:rsidP="0053099E">
      <w:pPr>
        <w:numPr>
          <w:ilvl w:val="0"/>
          <w:numId w:val="126"/>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 przypadku wydatków o wartości mniejszej niż 20 tys. zł netto (tj. bez podatku od towarów i usług VAT) dokumentem potwierdzającym zawarcie umowy jest dowód księgowy w rozumieniu przepisów o rachunkowości a potwierdzeniem zakresu zamówienia jest dokumentacja dotycząca zlecenia zamówienia.</w:t>
      </w:r>
    </w:p>
    <w:p w:rsidR="00D75851" w:rsidRDefault="00D75851" w:rsidP="00981286">
      <w:pPr>
        <w:spacing w:before="120" w:after="120" w:line="360" w:lineRule="auto"/>
        <w:ind w:left="720"/>
        <w:jc w:val="both"/>
        <w:rPr>
          <w:rFonts w:ascii="Arial" w:eastAsia="MS Mincho" w:hAnsi="Arial" w:cs="Arial"/>
          <w:lang w:eastAsia="ja-JP"/>
        </w:rPr>
      </w:pP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34" w:name="_Toc428290958"/>
      <w:bookmarkStart w:id="35" w:name="_Toc428290959"/>
      <w:bookmarkStart w:id="36" w:name="_Toc428290960"/>
      <w:bookmarkStart w:id="37" w:name="_Toc428290961"/>
      <w:bookmarkStart w:id="38" w:name="_Toc428290962"/>
      <w:bookmarkStart w:id="39" w:name="_Toc428290963"/>
      <w:bookmarkStart w:id="40" w:name="_Toc428290964"/>
      <w:bookmarkStart w:id="41" w:name="_Toc428290965"/>
      <w:bookmarkStart w:id="42" w:name="_Toc428290966"/>
      <w:bookmarkStart w:id="43" w:name="_Toc428290967"/>
      <w:bookmarkStart w:id="44" w:name="_Toc428290968"/>
      <w:bookmarkStart w:id="45" w:name="_Toc428290969"/>
      <w:bookmarkStart w:id="46" w:name="_Toc428290970"/>
      <w:bookmarkStart w:id="47" w:name="_Toc428290971"/>
      <w:bookmarkStart w:id="48" w:name="_Toc399917179"/>
      <w:bookmarkStart w:id="49" w:name="_Toc428290972"/>
      <w:bookmarkStart w:id="50" w:name="_Toc428290973"/>
      <w:bookmarkStart w:id="51" w:name="_Toc42853519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26"/>
      <w:bookmarkEnd w:id="49"/>
      <w:bookmarkEnd w:id="50"/>
      <w:r w:rsidRPr="00F466BF">
        <w:rPr>
          <w:rFonts w:ascii="Arial" w:hAnsi="Arial" w:cs="Arial"/>
          <w:i/>
          <w:color w:val="auto"/>
          <w:sz w:val="24"/>
          <w:szCs w:val="24"/>
        </w:rPr>
        <w:t>Cross-</w:t>
      </w:r>
      <w:proofErr w:type="spellStart"/>
      <w:r w:rsidRPr="00F466BF">
        <w:rPr>
          <w:rFonts w:ascii="Arial" w:hAnsi="Arial" w:cs="Arial"/>
          <w:i/>
          <w:color w:val="auto"/>
          <w:sz w:val="24"/>
          <w:szCs w:val="24"/>
        </w:rPr>
        <w:t>financing</w:t>
      </w:r>
      <w:bookmarkEnd w:id="51"/>
      <w:proofErr w:type="spellEnd"/>
      <w:r w:rsidRPr="007E469E">
        <w:rPr>
          <w:rFonts w:ascii="Arial" w:hAnsi="Arial" w:cs="Arial"/>
          <w:i/>
          <w:color w:val="auto"/>
          <w:sz w:val="24"/>
          <w:szCs w:val="24"/>
        </w:rPr>
        <w:t xml:space="preserve"> </w:t>
      </w:r>
    </w:p>
    <w:p w:rsidR="00F466BF" w:rsidRPr="005A373A" w:rsidRDefault="00F466BF" w:rsidP="005A373A">
      <w:pPr>
        <w:numPr>
          <w:ilvl w:val="0"/>
          <w:numId w:val="108"/>
        </w:numPr>
        <w:spacing w:before="120" w:after="120" w:line="360" w:lineRule="auto"/>
        <w:jc w:val="both"/>
        <w:rPr>
          <w:rFonts w:ascii="Arial" w:eastAsia="MS Mincho" w:hAnsi="Arial" w:cs="Arial"/>
          <w:lang w:eastAsia="ja-JP"/>
        </w:rPr>
      </w:pPr>
      <w:r w:rsidRPr="005A373A">
        <w:rPr>
          <w:rFonts w:ascii="Arial" w:eastAsia="MS Mincho" w:hAnsi="Arial" w:cs="Arial"/>
          <w:lang w:eastAsia="ja-JP"/>
        </w:rPr>
        <w:t>Zasady i warunki finansowania wydatków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w ramach projektów finansowanych z EFRR zostały określone </w:t>
      </w:r>
      <w:r w:rsidR="00F0720E">
        <w:rPr>
          <w:rFonts w:ascii="Arial" w:eastAsia="MS Mincho" w:hAnsi="Arial" w:cs="Arial"/>
          <w:lang w:eastAsia="ja-JP"/>
        </w:rPr>
        <w:t xml:space="preserve">w </w:t>
      </w:r>
      <w:r w:rsidRPr="002F5514">
        <w:rPr>
          <w:rFonts w:ascii="Arial" w:eastAsia="MS Mincho" w:hAnsi="Arial" w:cs="Arial"/>
          <w:i/>
          <w:lang w:eastAsia="ja-JP"/>
        </w:rPr>
        <w:t>Wytycznych horyzontalnych</w:t>
      </w:r>
      <w:r w:rsidRPr="005A373A">
        <w:rPr>
          <w:rFonts w:ascii="Arial" w:eastAsia="MS Mincho" w:hAnsi="Arial" w:cs="Arial"/>
          <w:lang w:eastAsia="ja-JP"/>
        </w:rPr>
        <w:t xml:space="preserve"> w podrozdziale 6.8 (Cross-</w:t>
      </w:r>
      <w:proofErr w:type="spellStart"/>
      <w:r w:rsidRPr="005A373A">
        <w:rPr>
          <w:rFonts w:ascii="Arial" w:eastAsia="MS Mincho" w:hAnsi="Arial" w:cs="Arial"/>
          <w:lang w:eastAsia="ja-JP"/>
        </w:rPr>
        <w:t>financing</w:t>
      </w:r>
      <w:proofErr w:type="spellEnd"/>
      <w:r w:rsidRPr="005A373A">
        <w:rPr>
          <w:rFonts w:ascii="Arial" w:eastAsia="MS Mincho" w:hAnsi="Arial" w:cs="Arial"/>
          <w:lang w:eastAsia="ja-JP"/>
        </w:rPr>
        <w:t xml:space="preserve">) oraz w niniejszych </w:t>
      </w:r>
      <w:r w:rsidRPr="0053099E">
        <w:rPr>
          <w:rFonts w:ascii="Arial" w:eastAsia="MS Mincho" w:hAnsi="Arial" w:cs="Arial"/>
          <w:i/>
          <w:lang w:eastAsia="ja-JP"/>
        </w:rPr>
        <w:t>Wytycznych</w:t>
      </w:r>
      <w:r w:rsidRPr="005A373A">
        <w:rPr>
          <w:rFonts w:ascii="Arial" w:eastAsia="MS Mincho" w:hAnsi="Arial" w:cs="Arial"/>
          <w:lang w:eastAsia="ja-JP"/>
        </w:rPr>
        <w:t>.</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Zasada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Limit wydatków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na poziomie projektu został określony w SZOOP, zgodnie z którym wartość wydatków planowanych we wniosku o dofinansowanie projektu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w ramach wydatków kwalifikowalnych na poziomie projektu, pod warunkiem, że taka możliwość została przewidziana w SZOOP.</w:t>
      </w:r>
    </w:p>
    <w:p w:rsidR="005A373A" w:rsidRPr="005A373A" w:rsidRDefault="00F466BF" w:rsidP="005A373A">
      <w:pPr>
        <w:numPr>
          <w:ilvl w:val="0"/>
          <w:numId w:val="108"/>
        </w:numPr>
        <w:spacing w:before="120" w:after="120" w:line="360" w:lineRule="auto"/>
        <w:ind w:left="426" w:hanging="426"/>
        <w:jc w:val="both"/>
        <w:rPr>
          <w:lang w:eastAsia="ja-JP"/>
        </w:rPr>
      </w:pPr>
      <w:r w:rsidRPr="005A373A">
        <w:rPr>
          <w:rFonts w:ascii="Arial" w:eastAsia="MS Mincho" w:hAnsi="Arial" w:cs="Arial"/>
          <w:lang w:eastAsia="ja-JP"/>
        </w:rPr>
        <w:tab/>
        <w:t>W przypadku przekroczenia ustalonego dla danego projektu przez IP POPC limitu wydatków ponoszonych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2" w:name="_Toc428275489"/>
      <w:bookmarkStart w:id="53" w:name="_Toc428535191"/>
      <w:bookmarkEnd w:id="48"/>
      <w:bookmarkEnd w:id="52"/>
      <w:r w:rsidRPr="007E469E">
        <w:rPr>
          <w:rFonts w:ascii="Arial" w:hAnsi="Arial" w:cs="Arial"/>
          <w:i/>
          <w:color w:val="auto"/>
          <w:sz w:val="24"/>
          <w:szCs w:val="24"/>
        </w:rPr>
        <w:t>Wkład niepieniężny</w:t>
      </w:r>
      <w:bookmarkEnd w:id="53"/>
    </w:p>
    <w:p w:rsidR="00903FFD" w:rsidRPr="005309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Pr="007E469E">
        <w:rPr>
          <w:rFonts w:ascii="Arial" w:eastAsia="Times New Roman" w:hAnsi="Arial" w:cs="Times New Roman"/>
          <w:i/>
          <w:szCs w:val="24"/>
          <w:lang w:eastAsia="pl-PL"/>
        </w:rPr>
        <w:t>Wytyczne</w:t>
      </w:r>
      <w:r w:rsidR="00AD29DB" w:rsidRPr="007E469E">
        <w:rPr>
          <w:rFonts w:ascii="Arial" w:eastAsia="Times New Roman" w:hAnsi="Arial" w:cs="Times New Roman"/>
          <w:i/>
          <w:szCs w:val="24"/>
          <w:lang w:eastAsia="pl-PL"/>
        </w:rPr>
        <w:t xml:space="preserve"> </w:t>
      </w:r>
      <w:r w:rsidR="00AD29DB" w:rsidRPr="007E469E">
        <w:rPr>
          <w:rFonts w:ascii="Arial" w:hAnsi="Arial"/>
          <w:i/>
        </w:rPr>
        <w:t>programowe</w:t>
      </w:r>
      <w:r w:rsidR="0053099E">
        <w:rPr>
          <w:rFonts w:ascii="Arial" w:hAnsi="Arial"/>
          <w:i/>
        </w:rPr>
        <w:t xml:space="preserve"> </w:t>
      </w:r>
      <w:r w:rsidR="0053099E" w:rsidRPr="00CF61E3">
        <w:rPr>
          <w:rFonts w:ascii="Arial" w:hAnsi="Arial"/>
        </w:rPr>
        <w:t>w sekcji 5.1.1</w:t>
      </w:r>
      <w:r w:rsidRPr="0053099E">
        <w:rPr>
          <w:rFonts w:ascii="Arial" w:eastAsia="Times New Roman" w:hAnsi="Arial" w:cs="Times New Roman"/>
          <w:szCs w:val="24"/>
          <w:lang w:eastAsia="pl-PL"/>
        </w:rPr>
        <w:t>.</w:t>
      </w:r>
    </w:p>
    <w:p w:rsidR="00903FFD"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Sytuacja, w której beneficjent jako wkład własny wnosi do projektu wkład niepieniężny, który w ciągu 7 poprzednich lat (10 lat dla nieruchomości) był współfinansowany ze środków unijnych lub dotacji z krajowych środków publicznych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54" w:name="_Toc428535192"/>
      <w:r w:rsidRPr="00C60541">
        <w:rPr>
          <w:rFonts w:ascii="Arial" w:hAnsi="Arial" w:cs="Arial"/>
          <w:i/>
          <w:color w:val="auto"/>
          <w:sz w:val="24"/>
          <w:szCs w:val="24"/>
        </w:rPr>
        <w:t>Leasing</w:t>
      </w:r>
      <w:bookmarkEnd w:id="54"/>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53099E">
        <w:rPr>
          <w:rFonts w:ascii="Arial" w:eastAsia="Times New Roman" w:hAnsi="Arial" w:cs="Times New Roman"/>
          <w:i/>
          <w:szCs w:val="24"/>
          <w:lang w:eastAsia="pl-PL"/>
        </w:rPr>
        <w:t xml:space="preserve"> </w:t>
      </w:r>
      <w:r w:rsidR="0053099E" w:rsidRPr="00CF61E3">
        <w:rPr>
          <w:rFonts w:ascii="Arial" w:eastAsia="Times New Roman" w:hAnsi="Arial" w:cs="Times New Roman"/>
          <w:szCs w:val="24"/>
          <w:lang w:eastAsia="pl-PL"/>
        </w:rPr>
        <w:t>oraz niniejszych</w:t>
      </w:r>
      <w:r w:rsidR="0053099E" w:rsidRPr="0053099E">
        <w:rPr>
          <w:rFonts w:ascii="Arial" w:eastAsia="Times New Roman" w:hAnsi="Arial" w:cs="Times New Roman"/>
          <w:i/>
          <w:szCs w:val="24"/>
          <w:lang w:eastAsia="pl-PL"/>
        </w:rPr>
        <w:t xml:space="preserve"> Wytyczn</w:t>
      </w:r>
      <w:r w:rsidR="0053099E">
        <w:rPr>
          <w:rFonts w:ascii="Arial" w:eastAsia="Times New Roman" w:hAnsi="Arial" w:cs="Times New Roman"/>
          <w:i/>
          <w:szCs w:val="24"/>
          <w:lang w:eastAsia="pl-PL"/>
        </w:rPr>
        <w:t>ych</w:t>
      </w:r>
      <w:r w:rsidR="0053099E" w:rsidRPr="0053099E">
        <w:rPr>
          <w:rFonts w:ascii="Arial" w:eastAsia="Times New Roman" w:hAnsi="Arial" w:cs="Times New Roman"/>
          <w:i/>
          <w:szCs w:val="24"/>
          <w:lang w:eastAsia="pl-PL"/>
        </w:rPr>
        <w:t xml:space="preserve"> programow</w:t>
      </w:r>
      <w:r w:rsidR="0053099E">
        <w:rPr>
          <w:rFonts w:ascii="Arial" w:eastAsia="Times New Roman" w:hAnsi="Arial" w:cs="Times New Roman"/>
          <w:i/>
          <w:szCs w:val="24"/>
          <w:lang w:eastAsia="pl-PL"/>
        </w:rPr>
        <w:t>ych</w:t>
      </w:r>
      <w:r w:rsidR="0053099E" w:rsidRPr="0053099E">
        <w:rPr>
          <w:rFonts w:ascii="Arial" w:eastAsia="Times New Roman" w:hAnsi="Arial" w:cs="Times New Roman"/>
          <w:i/>
          <w:szCs w:val="24"/>
          <w:lang w:eastAsia="pl-PL"/>
        </w:rPr>
        <w:t xml:space="preserve"> w sekcji 5.1.1.</w:t>
      </w:r>
      <w:r w:rsidRPr="00043E8A">
        <w:rPr>
          <w:rFonts w:ascii="Arial" w:eastAsia="Times New Roman" w:hAnsi="Arial" w:cs="Times New Roman"/>
          <w:i/>
          <w:szCs w:val="24"/>
          <w:lang w:eastAsia="pl-PL"/>
        </w:rPr>
        <w:t xml:space="preserve">.  </w:t>
      </w:r>
    </w:p>
    <w:p w:rsidR="006F58D2" w:rsidRPr="00C6054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C60541">
        <w:rPr>
          <w:rFonts w:ascii="Arial" w:eastAsia="Times New Roman" w:hAnsi="Arial" w:cs="Times New Roman"/>
          <w:szCs w:val="24"/>
          <w:lang w:eastAsia="pl-PL"/>
        </w:rPr>
        <w:t xml:space="preserve">Za niekwalifikowalne uznaje się wydatki związane z umową leasingu </w:t>
      </w:r>
      <w:r w:rsidR="00AD16DB">
        <w:rPr>
          <w:rFonts w:ascii="Arial" w:eastAsia="Times New Roman" w:hAnsi="Arial" w:cs="Times New Roman"/>
          <w:szCs w:val="24"/>
          <w:lang w:eastAsia="pl-PL"/>
        </w:rPr>
        <w:t>poniesione na</w:t>
      </w:r>
      <w:r w:rsidRPr="00C60541">
        <w:rPr>
          <w:rFonts w:ascii="Arial" w:eastAsia="Times New Roman" w:hAnsi="Arial" w:cs="Times New Roman"/>
          <w:szCs w:val="24"/>
          <w:lang w:eastAsia="pl-PL"/>
        </w:rPr>
        <w:t>:</w:t>
      </w:r>
    </w:p>
    <w:p w:rsidR="006F58D2" w:rsidRPr="00C60541" w:rsidRDefault="006F58D2" w:rsidP="00C0534E">
      <w:pPr>
        <w:ind w:left="426"/>
        <w:jc w:val="both"/>
        <w:rPr>
          <w:rFonts w:ascii="Arial" w:hAnsi="Arial" w:cs="Arial"/>
        </w:rPr>
      </w:pPr>
      <w:r w:rsidRPr="00C60541">
        <w:rPr>
          <w:rFonts w:ascii="Arial" w:hAnsi="Arial" w:cs="Arial"/>
        </w:rPr>
        <w:t>a) podatek związany z umową leasingu (nie dotyczy projektów, w których VAT jest wydatkiem kwalifikowalnym),</w:t>
      </w:r>
    </w:p>
    <w:p w:rsidR="006F58D2" w:rsidRPr="00C60541" w:rsidRDefault="006F58D2" w:rsidP="00C0534E">
      <w:pPr>
        <w:ind w:left="426"/>
        <w:jc w:val="both"/>
        <w:rPr>
          <w:rFonts w:ascii="Arial" w:hAnsi="Arial" w:cs="Arial"/>
        </w:rPr>
      </w:pPr>
      <w:r w:rsidRPr="00C60541">
        <w:rPr>
          <w:rFonts w:ascii="Arial" w:hAnsi="Arial" w:cs="Arial"/>
        </w:rPr>
        <w:t>b) marżę finansującego,</w:t>
      </w:r>
    </w:p>
    <w:p w:rsidR="006F58D2" w:rsidRPr="00C60541" w:rsidRDefault="006F58D2" w:rsidP="00C0534E">
      <w:pPr>
        <w:ind w:left="426"/>
        <w:jc w:val="both"/>
        <w:rPr>
          <w:rFonts w:ascii="Arial" w:hAnsi="Arial" w:cs="Arial"/>
        </w:rPr>
      </w:pPr>
      <w:r w:rsidRPr="00C60541">
        <w:rPr>
          <w:rFonts w:ascii="Arial" w:hAnsi="Arial" w:cs="Arial"/>
        </w:rPr>
        <w:t>c) odsetki od refinansowania kosztów,</w:t>
      </w:r>
    </w:p>
    <w:p w:rsidR="006F58D2" w:rsidRPr="00C60541" w:rsidRDefault="006F58D2" w:rsidP="00C0534E">
      <w:pPr>
        <w:ind w:left="426"/>
        <w:jc w:val="both"/>
        <w:rPr>
          <w:rFonts w:ascii="Arial" w:hAnsi="Arial" w:cs="Arial"/>
        </w:rPr>
      </w:pPr>
      <w:r w:rsidRPr="00C60541">
        <w:rPr>
          <w:rFonts w:ascii="Arial" w:hAnsi="Arial" w:cs="Arial"/>
        </w:rPr>
        <w:t>d)</w:t>
      </w:r>
      <w:r w:rsidR="00AD16DB">
        <w:rPr>
          <w:rFonts w:ascii="Arial" w:hAnsi="Arial" w:cs="Arial"/>
        </w:rPr>
        <w:t xml:space="preserve"> pokrycie</w:t>
      </w:r>
      <w:r w:rsidRPr="00C60541">
        <w:rPr>
          <w:rFonts w:ascii="Arial" w:hAnsi="Arial" w:cs="Arial"/>
        </w:rPr>
        <w:t xml:space="preserve"> koszt</w:t>
      </w:r>
      <w:r w:rsidR="00AD16DB">
        <w:rPr>
          <w:rFonts w:ascii="Arial" w:hAnsi="Arial" w:cs="Arial"/>
        </w:rPr>
        <w:t>ów</w:t>
      </w:r>
      <w:r w:rsidRPr="00C60541">
        <w:rPr>
          <w:rFonts w:ascii="Arial" w:hAnsi="Arial" w:cs="Arial"/>
        </w:rPr>
        <w:t xml:space="preserve"> </w:t>
      </w:r>
      <w:r w:rsidR="003C781C">
        <w:rPr>
          <w:rFonts w:ascii="Arial" w:hAnsi="Arial" w:cs="Arial"/>
        </w:rPr>
        <w:t>pośrednich</w:t>
      </w:r>
      <w:r w:rsidRPr="00C60541">
        <w:rPr>
          <w:rFonts w:ascii="Arial" w:hAnsi="Arial" w:cs="Arial"/>
        </w:rPr>
        <w:t>,</w:t>
      </w:r>
    </w:p>
    <w:p w:rsidR="006F58D2" w:rsidRPr="00C60541" w:rsidRDefault="006F58D2" w:rsidP="00C0534E">
      <w:pPr>
        <w:ind w:left="426"/>
        <w:jc w:val="both"/>
        <w:rPr>
          <w:rFonts w:ascii="Arial" w:hAnsi="Arial" w:cs="Arial"/>
        </w:rPr>
      </w:pPr>
      <w:r w:rsidRPr="00C6054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5" w:name="_Toc428535193"/>
      <w:r w:rsidRPr="00554E0C">
        <w:rPr>
          <w:rFonts w:ascii="Arial" w:hAnsi="Arial" w:cs="Arial"/>
          <w:i/>
          <w:color w:val="auto"/>
          <w:sz w:val="24"/>
          <w:szCs w:val="24"/>
        </w:rPr>
        <w:t>Projekty generujące dochód po zakończeniu realizacji projektów</w:t>
      </w:r>
      <w:bookmarkEnd w:id="55"/>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(rozdziały 6.9 i 7.3).</w:t>
      </w:r>
    </w:p>
    <w:p w:rsidR="00634991" w:rsidRPr="003D6B3B"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0529F6">
        <w:rPr>
          <w:rFonts w:ascii="Arial" w:eastAsia="Times New Roman" w:hAnsi="Arial" w:cs="Times New Roman"/>
          <w:szCs w:val="24"/>
          <w:lang w:eastAsia="pl-PL"/>
        </w:rPr>
        <w:t xml:space="preserve">Potencjalne dochody </w:t>
      </w:r>
      <w:r w:rsidR="003D6B3B">
        <w:rPr>
          <w:rFonts w:ascii="Arial" w:eastAsia="Times New Roman" w:hAnsi="Arial" w:cs="Times New Roman"/>
          <w:szCs w:val="24"/>
          <w:lang w:eastAsia="pl-PL"/>
        </w:rPr>
        <w:t xml:space="preserve">w projektach realizowanych w ramach POPC </w:t>
      </w:r>
      <w:r w:rsidRPr="000529F6">
        <w:rPr>
          <w:rFonts w:ascii="Arial" w:eastAsia="Times New Roman" w:hAnsi="Arial" w:cs="Times New Roman"/>
          <w:szCs w:val="24"/>
          <w:lang w:eastAsia="pl-PL"/>
        </w:rPr>
        <w:t xml:space="preserve">są określane w dokumentacji wniosku o dofinansowanie </w:t>
      </w:r>
      <w:r w:rsidR="003D6B3B">
        <w:rPr>
          <w:rFonts w:ascii="Arial" w:eastAsia="Times New Roman" w:hAnsi="Arial" w:cs="Times New Roman"/>
          <w:szCs w:val="24"/>
          <w:lang w:eastAsia="pl-PL"/>
        </w:rPr>
        <w:t xml:space="preserve">poprzez </w:t>
      </w:r>
      <w:r w:rsidRPr="003D6B3B">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względną zamożnością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6" w:name="_Toc407115853"/>
      <w:bookmarkStart w:id="57" w:name="_Toc407116383"/>
      <w:bookmarkStart w:id="58" w:name="_Toc428535194"/>
      <w:bookmarkEnd w:id="56"/>
      <w:bookmarkEnd w:id="57"/>
      <w:r w:rsidRPr="007E469E">
        <w:rPr>
          <w:rFonts w:ascii="Arial" w:hAnsi="Arial" w:cs="Arial"/>
          <w:i/>
          <w:color w:val="auto"/>
          <w:sz w:val="24"/>
          <w:szCs w:val="24"/>
        </w:rPr>
        <w:t>Kwalifikowalność podatku VAT i innych podatków, opłat i obciążeń</w:t>
      </w:r>
      <w:bookmarkEnd w:id="58"/>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Pr>
          <w:rFonts w:ascii="Arial" w:eastAsia="Times New Roman" w:hAnsi="Arial" w:cs="Times New Roman"/>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7E469E"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1 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9" w:name="_Toc428535195"/>
      <w:r w:rsidRPr="007E469E">
        <w:rPr>
          <w:rFonts w:ascii="Arial" w:hAnsi="Arial" w:cs="Arial"/>
          <w:i/>
          <w:color w:val="auto"/>
          <w:sz w:val="24"/>
          <w:szCs w:val="24"/>
        </w:rPr>
        <w:t>Kwalifikowalność działań informacyjno-promocyjnych</w:t>
      </w:r>
      <w:bookmarkEnd w:id="59"/>
    </w:p>
    <w:p w:rsidR="00AD39DB" w:rsidRPr="007E469E" w:rsidRDefault="00AD39DB" w:rsidP="00CF61E3">
      <w:pPr>
        <w:spacing w:before="240" w:after="240" w:line="360" w:lineRule="auto"/>
        <w:jc w:val="both"/>
        <w:rPr>
          <w:rFonts w:ascii="Arial" w:hAnsi="Arial" w:cs="Arial"/>
          <w:color w:val="000000"/>
          <w:lang w:eastAsia="pl-PL"/>
        </w:rPr>
      </w:pPr>
      <w:r w:rsidRPr="007E469E">
        <w:rPr>
          <w:rFonts w:ascii="Arial" w:hAnsi="Arial" w:cs="Arial"/>
        </w:rPr>
        <w:t>Wydatki związane z działaniami informacyjno-promocyjnymi stanowią wydatki kwalifikowalne w ramach realizowanych projektów jeśli</w:t>
      </w:r>
      <w:r w:rsidR="00CF61E3">
        <w:rPr>
          <w:rFonts w:ascii="Arial" w:hAnsi="Arial" w:cs="Arial"/>
        </w:rPr>
        <w:t xml:space="preserve"> </w:t>
      </w:r>
      <w:r w:rsidR="00CF61E3">
        <w:rPr>
          <w:rFonts w:ascii="Arial" w:hAnsi="Arial" w:cs="Arial"/>
          <w:color w:val="000000"/>
          <w:lang w:eastAsia="pl-PL"/>
        </w:rPr>
        <w:t>p</w:t>
      </w:r>
      <w:r w:rsidRPr="007E469E">
        <w:rPr>
          <w:rFonts w:ascii="Arial" w:hAnsi="Arial" w:cs="Arial"/>
          <w:color w:val="000000"/>
          <w:lang w:eastAsia="pl-PL"/>
        </w:rPr>
        <w:t xml:space="preserve">onoszone są zgodnie z warunkami i procedurami określonymi w </w:t>
      </w:r>
      <w:r w:rsidRPr="007E469E">
        <w:rPr>
          <w:rFonts w:ascii="Arial" w:hAnsi="Arial" w:cs="Arial"/>
          <w:i/>
          <w:iCs/>
          <w:color w:val="000000"/>
          <w:lang w:eastAsia="pl-PL"/>
        </w:rPr>
        <w:t>Wytycznych horyzontalnych</w:t>
      </w:r>
      <w:r w:rsidRPr="007E469E">
        <w:rPr>
          <w:rFonts w:ascii="Arial" w:hAnsi="Arial" w:cs="Arial"/>
          <w:color w:val="000000"/>
          <w:lang w:eastAsia="pl-PL"/>
        </w:rPr>
        <w:t xml:space="preserve">, niniejszych </w:t>
      </w:r>
      <w:r w:rsidRPr="007E469E">
        <w:rPr>
          <w:rFonts w:ascii="Arial" w:hAnsi="Arial" w:cs="Arial"/>
          <w:i/>
          <w:iCs/>
          <w:color w:val="000000"/>
          <w:lang w:eastAsia="pl-PL"/>
        </w:rPr>
        <w:t>Wytycznych programowych</w:t>
      </w:r>
      <w:r w:rsidRPr="007E469E">
        <w:rPr>
          <w:rFonts w:ascii="Arial" w:hAnsi="Arial" w:cs="Arial"/>
          <w:color w:val="000000"/>
          <w:lang w:eastAsia="pl-PL"/>
        </w:rPr>
        <w:t>, w umowie o dofinasowanie projektu</w:t>
      </w:r>
      <w:r w:rsidR="009929E6">
        <w:rPr>
          <w:rFonts w:ascii="Arial" w:hAnsi="Arial" w:cs="Arial"/>
          <w:color w:val="000000"/>
          <w:lang w:eastAsia="pl-PL"/>
        </w:rPr>
        <w:t>,</w:t>
      </w:r>
      <w:r w:rsidRPr="007E469E">
        <w:rPr>
          <w:rFonts w:ascii="Arial" w:hAnsi="Arial" w:cs="Arial"/>
          <w:color w:val="000000"/>
          <w:lang w:eastAsia="pl-PL"/>
        </w:rPr>
        <w:t xml:space="preserve"> w </w:t>
      </w:r>
      <w:r w:rsidRPr="007E469E">
        <w:rPr>
          <w:rFonts w:ascii="Arial" w:hAnsi="Arial" w:cs="Arial"/>
          <w:i/>
          <w:iCs/>
          <w:color w:val="000000"/>
          <w:lang w:eastAsia="pl-PL"/>
        </w:rPr>
        <w:t xml:space="preserve">Podręczniku </w:t>
      </w:r>
      <w:r w:rsidR="00537C95">
        <w:rPr>
          <w:rFonts w:ascii="Arial" w:hAnsi="Arial" w:cs="Arial"/>
          <w:i/>
          <w:iCs/>
          <w:color w:val="000000"/>
          <w:lang w:eastAsia="pl-PL"/>
        </w:rPr>
        <w:t>wnioskodawcy i b</w:t>
      </w:r>
      <w:r w:rsidRPr="007E469E">
        <w:rPr>
          <w:rFonts w:ascii="Arial" w:hAnsi="Arial" w:cs="Arial"/>
          <w:i/>
          <w:iCs/>
          <w:color w:val="000000"/>
          <w:lang w:eastAsia="pl-PL"/>
        </w:rPr>
        <w:t xml:space="preserve">eneficjenta </w:t>
      </w:r>
      <w:r w:rsidR="00537C95">
        <w:rPr>
          <w:rFonts w:ascii="Arial" w:hAnsi="Arial" w:cs="Arial"/>
          <w:i/>
          <w:iCs/>
          <w:color w:val="000000"/>
          <w:lang w:eastAsia="pl-PL"/>
        </w:rPr>
        <w:t>programów polityki spójności 2014-2020</w:t>
      </w:r>
      <w:r w:rsidR="00B9162C">
        <w:rPr>
          <w:rFonts w:ascii="Arial" w:hAnsi="Arial" w:cs="Arial"/>
          <w:i/>
          <w:iCs/>
          <w:color w:val="000000"/>
          <w:lang w:eastAsia="pl-PL"/>
        </w:rPr>
        <w:t xml:space="preserve"> w zakresie informacji i promocji</w:t>
      </w:r>
      <w:r w:rsidR="00537C95">
        <w:rPr>
          <w:rFonts w:ascii="Arial" w:hAnsi="Arial" w:cs="Arial"/>
          <w:i/>
          <w:iCs/>
          <w:color w:val="000000"/>
          <w:lang w:eastAsia="pl-PL"/>
        </w:rPr>
        <w:t xml:space="preserve"> oraz Wytycznych w zakresie  informacji i promocji programów operacyjnych polityki spójności na lata 2014-2020</w:t>
      </w:r>
      <w:r w:rsidRPr="007E469E">
        <w:rPr>
          <w:rFonts w:ascii="Arial" w:hAnsi="Arial" w:cs="Arial"/>
          <w:color w:val="000000"/>
          <w:lang w:eastAsia="pl-PL"/>
        </w:rPr>
        <w:t>.</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0" w:name="_Toc428535196"/>
      <w:r w:rsidRPr="007E469E">
        <w:rPr>
          <w:rFonts w:ascii="Arial" w:hAnsi="Arial" w:cs="Arial"/>
          <w:i/>
          <w:color w:val="auto"/>
          <w:sz w:val="24"/>
          <w:szCs w:val="24"/>
        </w:rPr>
        <w:t>Koszty pośrednie</w:t>
      </w:r>
      <w:bookmarkEnd w:id="60"/>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 xml:space="preserve">niniejszych </w:t>
      </w:r>
      <w:r>
        <w:rPr>
          <w:rFonts w:ascii="Arial" w:hAnsi="Arial" w:cs="Arial"/>
        </w:rPr>
        <w:t xml:space="preserve"> </w:t>
      </w:r>
      <w:r w:rsidRPr="007E469E">
        <w:rPr>
          <w:rFonts w:ascii="Arial" w:hAnsi="Arial" w:cs="Arial"/>
          <w:i/>
        </w:rPr>
        <w:t>Wytycznych programowych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2F5514">
        <w:rPr>
          <w:rFonts w:ascii="Arial" w:hAnsi="Arial" w:cs="Arial"/>
        </w:rPr>
        <w:t xml:space="preserve">II osi priorytetowej </w:t>
      </w:r>
      <w:r w:rsidRPr="007E469E">
        <w:rPr>
          <w:rFonts w:ascii="Arial" w:hAnsi="Arial" w:cs="Arial"/>
        </w:rPr>
        <w:t xml:space="preserve">POPC w wysokości </w:t>
      </w:r>
      <w:r w:rsidR="006A626A">
        <w:rPr>
          <w:rFonts w:ascii="Arial" w:hAnsi="Arial" w:cs="Arial"/>
        </w:rPr>
        <w:t xml:space="preserve">określonej </w:t>
      </w:r>
      <w:r w:rsidR="006A626A" w:rsidRPr="006A626A">
        <w:rPr>
          <w:rFonts w:ascii="Arial" w:hAnsi="Arial" w:cs="Arial"/>
        </w:rPr>
        <w:t xml:space="preserve">w </w:t>
      </w:r>
      <w:r w:rsidR="00FD5CDE">
        <w:rPr>
          <w:rFonts w:ascii="Arial" w:hAnsi="Arial" w:cs="Arial"/>
        </w:rPr>
        <w:t xml:space="preserve">sekcji </w:t>
      </w:r>
      <w:r w:rsidR="00CF61E3">
        <w:rPr>
          <w:rFonts w:ascii="Arial" w:hAnsi="Arial" w:cs="Arial"/>
        </w:rPr>
        <w:t>5</w:t>
      </w:r>
      <w:r w:rsidR="00FD5CDE">
        <w:rPr>
          <w:rFonts w:ascii="Arial" w:hAnsi="Arial" w:cs="Arial"/>
        </w:rPr>
        <w:t>.1.1</w:t>
      </w:r>
      <w:r w:rsidRPr="007E469E">
        <w:rPr>
          <w:rFonts w:ascii="Arial" w:hAnsi="Arial" w:cs="Arial"/>
        </w:rPr>
        <w:t>.</w:t>
      </w:r>
      <w:r w:rsidR="006A626A">
        <w:rPr>
          <w:rFonts w:ascii="Arial" w:hAnsi="Arial" w:cs="Arial"/>
        </w:rPr>
        <w:t xml:space="preserve"> Zapisy </w:t>
      </w:r>
      <w:r w:rsidR="00FD5CDE">
        <w:rPr>
          <w:rFonts w:ascii="Arial" w:hAnsi="Arial" w:cs="Arial"/>
        </w:rPr>
        <w:t>powyższej sekcji</w:t>
      </w:r>
      <w:r w:rsidR="006A626A">
        <w:rPr>
          <w:rFonts w:ascii="Arial" w:hAnsi="Arial" w:cs="Arial"/>
        </w:rPr>
        <w:t xml:space="preserve"> zawierają również katalog kosztów pośrednich</w:t>
      </w:r>
      <w:r w:rsidR="00871D76">
        <w:rPr>
          <w:rFonts w:ascii="Arial" w:hAnsi="Arial" w:cs="Arial"/>
        </w:rPr>
        <w:t>,</w:t>
      </w:r>
      <w:r w:rsidR="006A626A">
        <w:rPr>
          <w:rFonts w:ascii="Arial" w:hAnsi="Arial" w:cs="Arial"/>
        </w:rPr>
        <w:t xml:space="preserve"> </w:t>
      </w:r>
      <w:r w:rsidR="00871D76">
        <w:rPr>
          <w:rFonts w:ascii="Arial" w:hAnsi="Arial" w:cs="Arial"/>
        </w:rPr>
        <w:t>a także przyjęty sposób ich rozliczania</w:t>
      </w:r>
      <w:r w:rsidR="00C15C3E">
        <w:rPr>
          <w:rFonts w:ascii="Arial" w:hAnsi="Arial" w:cs="Arial"/>
        </w:rPr>
        <w:t xml:space="preserve">. </w:t>
      </w:r>
      <w:r w:rsidR="00871D76">
        <w:rPr>
          <w:rFonts w:ascii="Arial" w:hAnsi="Arial" w:cs="Arial"/>
        </w:rPr>
        <w:t xml:space="preserve">  </w:t>
      </w:r>
    </w:p>
    <w:p w:rsidR="006A626A" w:rsidRPr="00591009" w:rsidRDefault="00903FFD" w:rsidP="00AA774A">
      <w:pPr>
        <w:pStyle w:val="Akapitzlist"/>
        <w:numPr>
          <w:ilvl w:val="0"/>
          <w:numId w:val="35"/>
        </w:numPr>
        <w:spacing w:after="0" w:line="360" w:lineRule="auto"/>
        <w:jc w:val="both"/>
        <w:rPr>
          <w:rFonts w:ascii="Arial" w:hAnsi="Arial" w:cs="Arial"/>
        </w:rPr>
      </w:pPr>
      <w:r w:rsidRPr="006A626A">
        <w:rPr>
          <w:rFonts w:ascii="Arial" w:hAnsi="Arial" w:cs="Arial"/>
        </w:rPr>
        <w:t xml:space="preserve">W przypadku zmiany wysokości kosztów kwalifikowanych w projekcie należy ponownie przeliczyć limit </w:t>
      </w:r>
      <w:r w:rsidR="00F0720E">
        <w:rPr>
          <w:rFonts w:ascii="Arial" w:hAnsi="Arial" w:cs="Arial"/>
        </w:rPr>
        <w:t xml:space="preserve">określony dla </w:t>
      </w:r>
      <w:r w:rsidRPr="006A626A">
        <w:rPr>
          <w:rFonts w:ascii="Arial" w:hAnsi="Arial" w:cs="Arial"/>
        </w:rPr>
        <w:t>koszt</w:t>
      </w:r>
      <w:r w:rsidR="00F0720E">
        <w:rPr>
          <w:rFonts w:ascii="Arial" w:hAnsi="Arial" w:cs="Arial"/>
        </w:rPr>
        <w:t>ów</w:t>
      </w:r>
      <w:r w:rsidRPr="006A626A">
        <w:rPr>
          <w:rFonts w:ascii="Arial" w:hAnsi="Arial" w:cs="Arial"/>
        </w:rPr>
        <w:t xml:space="preserve"> pośredni</w:t>
      </w:r>
      <w:r w:rsidR="00F0720E">
        <w:rPr>
          <w:rFonts w:ascii="Arial" w:hAnsi="Arial" w:cs="Arial"/>
        </w:rPr>
        <w:t>ch</w:t>
      </w:r>
      <w:r w:rsidRPr="006A626A">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1" w:name="_Toc417549284"/>
      <w:bookmarkStart w:id="62" w:name="_Toc417549353"/>
      <w:bookmarkStart w:id="63" w:name="_Toc417549422"/>
      <w:bookmarkStart w:id="64" w:name="_Toc418584390"/>
      <w:bookmarkStart w:id="65" w:name="_Toc418588606"/>
      <w:bookmarkStart w:id="66" w:name="_Toc390161737"/>
      <w:bookmarkStart w:id="67" w:name="_Toc399917190"/>
      <w:bookmarkStart w:id="68" w:name="_Toc428535197"/>
      <w:bookmarkEnd w:id="61"/>
      <w:bookmarkEnd w:id="62"/>
      <w:bookmarkEnd w:id="63"/>
      <w:bookmarkEnd w:id="64"/>
      <w:bookmarkEnd w:id="65"/>
      <w:r w:rsidRPr="007E469E">
        <w:rPr>
          <w:rFonts w:ascii="Arial" w:hAnsi="Arial" w:cs="Arial"/>
          <w:i/>
          <w:color w:val="auto"/>
          <w:sz w:val="24"/>
          <w:szCs w:val="24"/>
        </w:rPr>
        <w:t>Koszty związane z angażowaniem personelu</w:t>
      </w:r>
      <w:bookmarkEnd w:id="66"/>
      <w:bookmarkEnd w:id="67"/>
      <w:r w:rsidR="00425717" w:rsidRPr="007E469E">
        <w:rPr>
          <w:rFonts w:ascii="Arial" w:hAnsi="Arial" w:cs="Arial"/>
          <w:i/>
          <w:color w:val="auto"/>
          <w:sz w:val="24"/>
          <w:szCs w:val="24"/>
        </w:rPr>
        <w:t xml:space="preserve"> projektu</w:t>
      </w:r>
      <w:bookmarkEnd w:id="68"/>
    </w:p>
    <w:p w:rsidR="00903FFD" w:rsidRPr="007E469E" w:rsidRDefault="00903FFD" w:rsidP="008A69F7">
      <w:pPr>
        <w:pStyle w:val="Akapitzlist"/>
        <w:numPr>
          <w:ilvl w:val="0"/>
          <w:numId w:val="17"/>
        </w:numPr>
        <w:spacing w:after="0" w:line="360" w:lineRule="auto"/>
        <w:jc w:val="both"/>
        <w:rPr>
          <w:rFonts w:ascii="Arial" w:hAnsi="Arial" w:cs="Arial"/>
        </w:rPr>
      </w:pPr>
      <w:bookmarkStart w:id="69" w:name="_Toc276551643"/>
      <w:bookmarkStart w:id="70"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A01186">
        <w:rPr>
          <w:rFonts w:ascii="Arial" w:hAnsi="Arial" w:cs="Arial"/>
          <w:i/>
        </w:rPr>
        <w:t>K</w:t>
      </w:r>
      <w:r w:rsidR="004D05D2">
        <w:rPr>
          <w:rFonts w:ascii="Arial" w:hAnsi="Arial" w:cs="Arial"/>
          <w:i/>
        </w:rPr>
        <w:t>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Pr="007E469E">
        <w:rPr>
          <w:rFonts w:ascii="Arial" w:hAnsi="Arial" w:cs="Arial"/>
          <w:i/>
        </w:rPr>
        <w:t>Wytycznych</w:t>
      </w:r>
      <w:r w:rsidR="005D1D52" w:rsidRPr="007E469E">
        <w:rPr>
          <w:rFonts w:ascii="Arial" w:hAnsi="Arial" w:cs="Arial"/>
          <w:i/>
        </w:rPr>
        <w:t xml:space="preserve"> programowych</w:t>
      </w:r>
      <w:r w:rsidRPr="007E469E">
        <w:rPr>
          <w:rFonts w:ascii="Arial" w:hAnsi="Arial" w:cs="Arial"/>
        </w:rPr>
        <w:t>.</w:t>
      </w:r>
      <w:bookmarkEnd w:id="69"/>
      <w:bookmarkEnd w:id="70"/>
      <w:r w:rsidRPr="007E469E">
        <w:rPr>
          <w:rFonts w:ascii="Arial" w:hAnsi="Arial" w:cs="Arial"/>
        </w:rPr>
        <w:t xml:space="preserve">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1" w:name="_Toc407115859"/>
      <w:bookmarkStart w:id="72" w:name="_Toc407116389"/>
      <w:bookmarkEnd w:id="71"/>
      <w:bookmarkEnd w:id="72"/>
      <w:r w:rsidRPr="007E469E">
        <w:rPr>
          <w:rFonts w:ascii="Arial" w:hAnsi="Arial" w:cs="Arial"/>
          <w:i/>
          <w:color w:val="auto"/>
          <w:sz w:val="24"/>
          <w:szCs w:val="24"/>
        </w:rPr>
        <w:t xml:space="preserve"> </w:t>
      </w:r>
      <w:bookmarkStart w:id="73" w:name="_Toc428535198"/>
      <w:r w:rsidRPr="007E469E">
        <w:rPr>
          <w:rFonts w:ascii="Arial" w:hAnsi="Arial" w:cs="Arial"/>
          <w:i/>
          <w:color w:val="auto"/>
          <w:sz w:val="24"/>
          <w:szCs w:val="24"/>
        </w:rPr>
        <w:t>Zmiany projektów</w:t>
      </w:r>
      <w:bookmarkEnd w:id="73"/>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7E469E"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74" w:name="_Toc428535199"/>
      <w:r w:rsidRPr="007E469E">
        <w:rPr>
          <w:rFonts w:ascii="Arial" w:hAnsi="Arial" w:cs="Arial"/>
          <w:i/>
          <w:color w:val="auto"/>
          <w:sz w:val="24"/>
          <w:szCs w:val="24"/>
        </w:rPr>
        <w:t>Duży projekt – zasady identyfikacji</w:t>
      </w:r>
      <w:bookmarkEnd w:id="74"/>
      <w:r w:rsidRPr="007E469E">
        <w:rPr>
          <w:rFonts w:ascii="Arial" w:hAnsi="Arial" w:cs="Arial"/>
          <w:i/>
          <w:color w:val="auto"/>
          <w:sz w:val="24"/>
          <w:szCs w:val="24"/>
        </w:rPr>
        <w:t xml:space="preserve"> </w:t>
      </w:r>
    </w:p>
    <w:p w:rsidR="00F0653C" w:rsidRDefault="00F0653C" w:rsidP="0030426E">
      <w:pPr>
        <w:pStyle w:val="Akapit"/>
        <w:keepNext w:val="0"/>
        <w:numPr>
          <w:ilvl w:val="0"/>
          <w:numId w:val="8"/>
        </w:numPr>
        <w:spacing w:before="120" w:after="120"/>
        <w:ind w:left="426"/>
        <w:outlineLvl w:val="5"/>
        <w:rPr>
          <w:rFonts w:cs="Arial"/>
          <w:szCs w:val="22"/>
        </w:rPr>
      </w:pPr>
      <w:r>
        <w:rPr>
          <w:rFonts w:cs="Arial"/>
          <w:szCs w:val="22"/>
        </w:rPr>
        <w:t xml:space="preserve">W ramach </w:t>
      </w:r>
      <w:r w:rsidR="00FD5CDE">
        <w:rPr>
          <w:rFonts w:cs="Arial"/>
          <w:szCs w:val="22"/>
        </w:rPr>
        <w:t xml:space="preserve">II osi priorytetowej </w:t>
      </w:r>
      <w:r>
        <w:rPr>
          <w:rFonts w:cs="Arial"/>
          <w:szCs w:val="22"/>
        </w:rPr>
        <w:t xml:space="preserve">POPC nie </w:t>
      </w:r>
      <w:r w:rsidR="00892E05">
        <w:rPr>
          <w:rFonts w:cs="Arial"/>
          <w:szCs w:val="22"/>
        </w:rPr>
        <w:t>przewiduje</w:t>
      </w:r>
      <w:r>
        <w:rPr>
          <w:rFonts w:cs="Arial"/>
          <w:szCs w:val="22"/>
        </w:rPr>
        <w:t xml:space="preserve"> się realizacji dużych projektów.</w:t>
      </w:r>
    </w:p>
    <w:p w:rsidR="00903FFD" w:rsidRPr="007E469E" w:rsidRDefault="00892E05" w:rsidP="0030426E">
      <w:pPr>
        <w:pStyle w:val="Akapit"/>
        <w:keepNext w:val="0"/>
        <w:numPr>
          <w:ilvl w:val="0"/>
          <w:numId w:val="8"/>
        </w:numPr>
        <w:spacing w:before="120" w:after="120"/>
        <w:ind w:left="426"/>
        <w:outlineLvl w:val="5"/>
        <w:rPr>
          <w:rFonts w:cs="Arial"/>
          <w:szCs w:val="22"/>
        </w:rPr>
      </w:pPr>
      <w:r>
        <w:rPr>
          <w:rFonts w:cs="Arial"/>
          <w:szCs w:val="22"/>
        </w:rPr>
        <w:t>Weryfikacja</w:t>
      </w:r>
      <w:r w:rsidR="00903FFD" w:rsidRPr="007E469E">
        <w:rPr>
          <w:rFonts w:cs="Arial"/>
          <w:szCs w:val="22"/>
        </w:rPr>
        <w:t xml:space="preserve"> danego projektu </w:t>
      </w:r>
      <w:r>
        <w:rPr>
          <w:rFonts w:cs="Arial"/>
          <w:szCs w:val="22"/>
        </w:rPr>
        <w:t xml:space="preserve">pod kątem zaliczania się </w:t>
      </w:r>
      <w:r w:rsidR="00903FFD" w:rsidRPr="007E469E">
        <w:rPr>
          <w:rFonts w:cs="Arial"/>
          <w:szCs w:val="22"/>
        </w:rPr>
        <w:t>do grupy projektów dużych</w:t>
      </w:r>
      <w:r w:rsidR="00E62E0D">
        <w:rPr>
          <w:rFonts w:cs="Arial"/>
          <w:szCs w:val="22"/>
        </w:rPr>
        <w:t xml:space="preserve"> </w:t>
      </w:r>
      <w:r w:rsidR="00E62E0D" w:rsidRPr="007E469E">
        <w:rPr>
          <w:rFonts w:cs="Arial"/>
          <w:szCs w:val="22"/>
        </w:rPr>
        <w:t>(określana mianem identyfikacji dużego projektu)</w:t>
      </w:r>
      <w:r w:rsidR="00136638">
        <w:rPr>
          <w:rFonts w:cs="Arial"/>
          <w:szCs w:val="22"/>
        </w:rPr>
        <w:t xml:space="preserve">, czyli takich których całkowite </w:t>
      </w:r>
      <w:r w:rsidR="00A0475E">
        <w:rPr>
          <w:rFonts w:cs="Arial"/>
          <w:szCs w:val="22"/>
        </w:rPr>
        <w:t xml:space="preserve"> wydatki</w:t>
      </w:r>
      <w:r w:rsidR="00136638">
        <w:rPr>
          <w:rFonts w:cs="Arial"/>
          <w:szCs w:val="22"/>
        </w:rPr>
        <w:t xml:space="preserve"> kwalifikowalne przekraczają kwotę 50 </w:t>
      </w:r>
      <w:r w:rsidR="00BA3033">
        <w:rPr>
          <w:rFonts w:cs="Arial"/>
          <w:szCs w:val="22"/>
        </w:rPr>
        <w:t>mln</w:t>
      </w:r>
      <w:r w:rsidR="00136638">
        <w:rPr>
          <w:rFonts w:cs="Arial"/>
          <w:szCs w:val="22"/>
        </w:rPr>
        <w:t xml:space="preserve"> EUR</w:t>
      </w:r>
      <w:r w:rsidR="00E62E0D">
        <w:rPr>
          <w:rFonts w:cs="Arial"/>
          <w:szCs w:val="22"/>
        </w:rPr>
        <w:t>,</w:t>
      </w:r>
      <w:r w:rsidR="00903FFD" w:rsidRPr="007E469E">
        <w:rPr>
          <w:rFonts w:cs="Arial"/>
          <w:szCs w:val="22"/>
        </w:rPr>
        <w:t xml:space="preserve"> dotyczy każdego projektu, który ubiega się o wsparcie finansowe w ramach POPC. Następuje ona </w:t>
      </w:r>
      <w:r>
        <w:rPr>
          <w:rFonts w:cs="Arial"/>
          <w:szCs w:val="22"/>
        </w:rPr>
        <w:t>po</w:t>
      </w:r>
      <w:r w:rsidR="00903FFD" w:rsidRPr="007E469E">
        <w:rPr>
          <w:rFonts w:cs="Arial"/>
          <w:szCs w:val="22"/>
        </w:rPr>
        <w:t xml:space="preserve"> </w:t>
      </w:r>
      <w:r w:rsidRPr="007E469E">
        <w:rPr>
          <w:rFonts w:cs="Arial"/>
          <w:szCs w:val="22"/>
        </w:rPr>
        <w:t>złożeni</w:t>
      </w:r>
      <w:r>
        <w:rPr>
          <w:rFonts w:cs="Arial"/>
          <w:szCs w:val="22"/>
        </w:rPr>
        <w:t>u</w:t>
      </w:r>
      <w:r w:rsidRPr="007E469E">
        <w:rPr>
          <w:rFonts w:cs="Arial"/>
          <w:szCs w:val="22"/>
        </w:rPr>
        <w:t xml:space="preserve"> </w:t>
      </w:r>
      <w:r w:rsidR="00903FFD" w:rsidRPr="007E469E">
        <w:rPr>
          <w:rFonts w:cs="Arial"/>
          <w:szCs w:val="22"/>
        </w:rPr>
        <w:t xml:space="preserve">przez </w:t>
      </w:r>
      <w:r w:rsidR="00D0310D" w:rsidRPr="007E469E">
        <w:rPr>
          <w:rFonts w:cs="Arial"/>
          <w:szCs w:val="22"/>
        </w:rPr>
        <w:t>wnioskodawcę</w:t>
      </w:r>
      <w:r w:rsidR="00903FFD" w:rsidRPr="007E469E">
        <w:rPr>
          <w:rFonts w:cs="Arial"/>
          <w:szCs w:val="22"/>
        </w:rPr>
        <w:t xml:space="preserve"> do IP</w:t>
      </w:r>
      <w:r w:rsidR="00003E0A" w:rsidRPr="007E469E">
        <w:rPr>
          <w:rFonts w:cs="Arial"/>
          <w:szCs w:val="22"/>
        </w:rPr>
        <w:t xml:space="preserve"> POPC</w:t>
      </w:r>
      <w:r w:rsidR="00903FFD" w:rsidRPr="007E469E">
        <w:rPr>
          <w:rFonts w:cs="Arial"/>
          <w:szCs w:val="22"/>
        </w:rPr>
        <w:t xml:space="preserve"> wniosku o dofinansowanie w ramach POPC. W tym celu bada się czy </w:t>
      </w:r>
      <w:r w:rsidR="00193874" w:rsidRPr="007E469E">
        <w:rPr>
          <w:rFonts w:cs="Arial"/>
          <w:szCs w:val="22"/>
        </w:rPr>
        <w:t xml:space="preserve">wydatki kwalifikowalne danego projektu </w:t>
      </w:r>
      <w:r w:rsidR="00903FFD" w:rsidRPr="007E469E">
        <w:rPr>
          <w:rFonts w:cs="Arial"/>
          <w:szCs w:val="22"/>
        </w:rPr>
        <w:t>wyrażon</w:t>
      </w:r>
      <w:r w:rsidR="00193874" w:rsidRPr="007E469E">
        <w:rPr>
          <w:rFonts w:cs="Arial"/>
          <w:szCs w:val="22"/>
        </w:rPr>
        <w:t>e</w:t>
      </w:r>
      <w:r w:rsidR="00903FFD" w:rsidRPr="007E469E">
        <w:rPr>
          <w:rFonts w:cs="Arial"/>
          <w:szCs w:val="22"/>
        </w:rPr>
        <w:t xml:space="preserve"> w EUR przekracza</w:t>
      </w:r>
      <w:r w:rsidR="00193874" w:rsidRPr="007E469E">
        <w:rPr>
          <w:rFonts w:cs="Arial"/>
          <w:szCs w:val="22"/>
        </w:rPr>
        <w:t>ją</w:t>
      </w:r>
      <w:r w:rsidR="00903FFD" w:rsidRPr="007E469E">
        <w:rPr>
          <w:rFonts w:cs="Arial"/>
          <w:szCs w:val="22"/>
        </w:rPr>
        <w:t xml:space="preserve"> próg dużego projektu, określony przepisami art. 100 rozporządzenia ogólnego. </w:t>
      </w:r>
    </w:p>
    <w:p w:rsidR="00903FFD" w:rsidRPr="00D50079" w:rsidRDefault="00480F1B" w:rsidP="00136638">
      <w:pPr>
        <w:pStyle w:val="Akapit"/>
        <w:keepNext w:val="0"/>
        <w:numPr>
          <w:ilvl w:val="0"/>
          <w:numId w:val="8"/>
        </w:numPr>
        <w:spacing w:before="120" w:after="120"/>
        <w:ind w:left="426"/>
        <w:outlineLvl w:val="5"/>
        <w:rPr>
          <w:rFonts w:cs="Arial"/>
          <w:szCs w:val="22"/>
        </w:rPr>
      </w:pPr>
      <w:r w:rsidRPr="00480F1B">
        <w:rPr>
          <w:rFonts w:cs="Arial"/>
          <w:szCs w:val="22"/>
        </w:rPr>
        <w:t>Aby dokonać konwersji walutowej PLN/EUR należy posłużyć się średnią arytmetyczną kursów średni</w:t>
      </w:r>
      <w:r w:rsidR="00DA6431">
        <w:rPr>
          <w:rFonts w:cs="Arial"/>
          <w:szCs w:val="22"/>
        </w:rPr>
        <w:t>oważonych</w:t>
      </w:r>
      <w:r w:rsidRPr="00480F1B">
        <w:rPr>
          <w:rFonts w:cs="Arial"/>
          <w:szCs w:val="22"/>
        </w:rPr>
        <w:t xml:space="preserve"> </w:t>
      </w:r>
      <w:r w:rsidR="00DA6431">
        <w:rPr>
          <w:rFonts w:cs="Arial"/>
          <w:szCs w:val="22"/>
        </w:rPr>
        <w:t xml:space="preserve">walut obcych w złotych </w:t>
      </w:r>
      <w:r w:rsidRPr="00480F1B">
        <w:rPr>
          <w:rFonts w:cs="Arial"/>
          <w:szCs w:val="22"/>
        </w:rPr>
        <w:t>miesięcznych Narodowego Banku Polskiego, z ostatnich kolejno następujących po sobie sześciu miesięcy bezpośrednio poprzedzających miesiąc złożenia wniosku o dofinansowanie (kursy te publikowane są w mediach elektronicznych pod adresem: http://www.nbp.pl/home.asp</w:t>
      </w:r>
      <w:r w:rsidR="00136638">
        <w:rPr>
          <w:rFonts w:cs="Arial"/>
          <w:szCs w:val="22"/>
        </w:rPr>
        <w:t>x?f=/kursy/arch</w:t>
      </w:r>
      <w:r w:rsidR="006A2CE6">
        <w:rPr>
          <w:rFonts w:cs="Arial"/>
          <w:szCs w:val="22"/>
        </w:rPr>
        <w:t>_a.</w:t>
      </w:r>
      <w:r w:rsidR="00136638">
        <w:rPr>
          <w:rFonts w:cs="Arial"/>
          <w:szCs w:val="22"/>
        </w:rPr>
        <w:t xml:space="preserve">html </w:t>
      </w:r>
      <w:r w:rsidRPr="00480F1B">
        <w:rPr>
          <w:rFonts w:cs="Arial"/>
          <w:szCs w:val="22"/>
        </w:rPr>
        <w:t>)</w:t>
      </w:r>
      <w:r>
        <w:rPr>
          <w:rStyle w:val="Odwoanieprzypisudolnego"/>
          <w:rFonts w:cs="Arial"/>
          <w:szCs w:val="22"/>
        </w:rPr>
        <w:footnoteReference w:id="17"/>
      </w:r>
      <w:r w:rsidRPr="00480F1B">
        <w:rPr>
          <w:rFonts w:cs="Arial"/>
          <w:szCs w:val="22"/>
        </w:rPr>
        <w:t>.</w:t>
      </w:r>
    </w:p>
    <w:p w:rsidR="00903FFD" w:rsidRPr="007E469E" w:rsidRDefault="00903FFD" w:rsidP="0030426E">
      <w:pPr>
        <w:pStyle w:val="Akapit"/>
        <w:keepNext w:val="0"/>
        <w:numPr>
          <w:ilvl w:val="0"/>
          <w:numId w:val="8"/>
        </w:numPr>
        <w:spacing w:before="120" w:after="120"/>
        <w:ind w:left="426" w:hanging="426"/>
        <w:outlineLvl w:val="5"/>
        <w:rPr>
          <w:rFonts w:cs="Arial"/>
          <w:szCs w:val="22"/>
        </w:rPr>
      </w:pPr>
      <w:r w:rsidRPr="007E469E">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 xml:space="preserve">identyfikacji dużego projektu, tj. określeniu, czy dany projekt ma status projektu dużego, czy </w:t>
      </w:r>
      <w:r w:rsidR="00F0720E">
        <w:rPr>
          <w:rFonts w:cs="Arial"/>
          <w:szCs w:val="22"/>
        </w:rPr>
        <w:t>tego statusu nie posiada</w:t>
      </w:r>
      <w:r w:rsidRPr="007E469E">
        <w:rPr>
          <w:rFonts w:cs="Arial"/>
          <w:szCs w:val="22"/>
        </w:rPr>
        <w:t>;</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wypełnieniu formularza wniosku o potwierdzenie wkładu finansowego do dużego projektu w celu przekazania do oceny dokonywanej przez KE;</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przeliczeniu wartości finansowych zawartych w decyzji KE potwierdzającej przyznanie dofinansowania w ramach POPC dla dużego projektu na potrzeby umowy o dofinansowanie.</w:t>
      </w:r>
    </w:p>
    <w:p w:rsidR="00F0653C" w:rsidRDefault="00892E05" w:rsidP="00F0653C">
      <w:pPr>
        <w:pStyle w:val="Akapit"/>
        <w:keepNext w:val="0"/>
        <w:numPr>
          <w:ilvl w:val="0"/>
          <w:numId w:val="8"/>
        </w:numPr>
        <w:spacing w:before="120" w:after="120"/>
        <w:ind w:left="426"/>
        <w:outlineLvl w:val="5"/>
        <w:rPr>
          <w:rFonts w:cs="Arial"/>
          <w:szCs w:val="22"/>
        </w:rPr>
      </w:pPr>
      <w:r>
        <w:rPr>
          <w:rFonts w:cs="Arial"/>
          <w:szCs w:val="22"/>
        </w:rPr>
        <w:t xml:space="preserve">W przypadku przekroczenia wartości 50 mln EUR </w:t>
      </w:r>
      <w:r w:rsidR="008B1747">
        <w:rPr>
          <w:rFonts w:cs="Arial"/>
          <w:szCs w:val="22"/>
        </w:rPr>
        <w:t xml:space="preserve">wydatków kwalifikowalnych </w:t>
      </w:r>
      <w:r>
        <w:rPr>
          <w:rFonts w:cs="Arial"/>
          <w:szCs w:val="22"/>
        </w:rPr>
        <w:t>projektu w trakcie jego realizacji, wydatki przekraczające</w:t>
      </w:r>
      <w:r w:rsidR="00F0653C">
        <w:rPr>
          <w:rFonts w:cs="Arial"/>
          <w:szCs w:val="22"/>
        </w:rPr>
        <w:t xml:space="preserve"> powyższ</w:t>
      </w:r>
      <w:r>
        <w:rPr>
          <w:rFonts w:cs="Arial"/>
          <w:szCs w:val="22"/>
        </w:rPr>
        <w:t>y</w:t>
      </w:r>
      <w:r w:rsidR="00F0653C">
        <w:rPr>
          <w:rFonts w:cs="Arial"/>
          <w:szCs w:val="22"/>
        </w:rPr>
        <w:t xml:space="preserve"> limit uzna</w:t>
      </w:r>
      <w:r>
        <w:rPr>
          <w:rFonts w:cs="Arial"/>
          <w:szCs w:val="22"/>
        </w:rPr>
        <w:t>je się</w:t>
      </w:r>
      <w:r w:rsidR="00F0653C">
        <w:rPr>
          <w:rFonts w:cs="Arial"/>
          <w:szCs w:val="22"/>
        </w:rPr>
        <w:t xml:space="preserve"> za </w:t>
      </w:r>
      <w:r w:rsidR="00136638">
        <w:rPr>
          <w:rFonts w:cs="Arial"/>
          <w:szCs w:val="22"/>
        </w:rPr>
        <w:t>niekwalifikowalne</w:t>
      </w:r>
      <w:r w:rsidR="00F0653C">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428535200"/>
      <w:r w:rsidRPr="007E469E">
        <w:rPr>
          <w:rFonts w:ascii="Arial" w:hAnsi="Arial" w:cs="Arial"/>
          <w:i/>
          <w:color w:val="auto"/>
          <w:sz w:val="24"/>
          <w:szCs w:val="24"/>
        </w:rPr>
        <w:t>Podmiot dokonujący wydatków kwalifikowalnych</w:t>
      </w:r>
      <w:bookmarkEnd w:id="75"/>
    </w:p>
    <w:p w:rsidR="00AC2A05" w:rsidRPr="00AC2A05" w:rsidRDefault="00903FFD" w:rsidP="00AC2A05">
      <w:pPr>
        <w:numPr>
          <w:ilvl w:val="0"/>
          <w:numId w:val="7"/>
        </w:numPr>
        <w:spacing w:before="120" w:after="120" w:line="360" w:lineRule="auto"/>
        <w:jc w:val="both"/>
        <w:rPr>
          <w:rFonts w:ascii="Arial" w:eastAsia="Times New Roman" w:hAnsi="Arial" w:cs="Arial"/>
          <w:lang w:eastAsia="pl-PL"/>
        </w:rPr>
      </w:pPr>
      <w:r w:rsidRPr="00BA3033">
        <w:rPr>
          <w:rFonts w:ascii="Arial" w:eastAsia="Times New Roman" w:hAnsi="Arial" w:cs="Arial"/>
          <w:lang w:eastAsia="pl-PL"/>
        </w:rPr>
        <w:t xml:space="preserve">Podmiotem </w:t>
      </w:r>
      <w:r w:rsidR="008B1747">
        <w:rPr>
          <w:rFonts w:ascii="Arial" w:eastAsia="Times New Roman" w:hAnsi="Arial" w:cs="Arial"/>
          <w:lang w:eastAsia="pl-PL"/>
        </w:rPr>
        <w:t>ponoszącym</w:t>
      </w:r>
      <w:r w:rsidR="008B1747" w:rsidRPr="00BA3033">
        <w:rPr>
          <w:rFonts w:ascii="Arial" w:eastAsia="Times New Roman" w:hAnsi="Arial" w:cs="Arial"/>
          <w:lang w:eastAsia="pl-PL"/>
        </w:rPr>
        <w:t xml:space="preserve"> wydatk</w:t>
      </w:r>
      <w:r w:rsidR="008B1747">
        <w:rPr>
          <w:rFonts w:ascii="Arial" w:eastAsia="Times New Roman" w:hAnsi="Arial" w:cs="Arial"/>
          <w:lang w:eastAsia="pl-PL"/>
        </w:rPr>
        <w:t>i</w:t>
      </w:r>
      <w:r w:rsidR="008B1747" w:rsidRPr="00BA3033">
        <w:rPr>
          <w:rFonts w:ascii="Arial" w:eastAsia="Times New Roman" w:hAnsi="Arial" w:cs="Arial"/>
          <w:lang w:eastAsia="pl-PL"/>
        </w:rPr>
        <w:t xml:space="preserve"> kwalifikowaln</w:t>
      </w:r>
      <w:r w:rsidR="008B1747">
        <w:rPr>
          <w:rFonts w:ascii="Arial" w:eastAsia="Times New Roman" w:hAnsi="Arial" w:cs="Arial"/>
          <w:lang w:eastAsia="pl-PL"/>
        </w:rPr>
        <w:t>e</w:t>
      </w:r>
      <w:r w:rsidR="008B1747" w:rsidRPr="00BA3033">
        <w:rPr>
          <w:rFonts w:ascii="Arial" w:eastAsia="Times New Roman" w:hAnsi="Arial" w:cs="Arial"/>
          <w:lang w:eastAsia="pl-PL"/>
        </w:rPr>
        <w:t xml:space="preserve"> </w:t>
      </w:r>
      <w:r w:rsidRPr="00BA3033">
        <w:rPr>
          <w:rFonts w:ascii="Arial" w:eastAsia="Times New Roman" w:hAnsi="Arial" w:cs="Arial"/>
          <w:lang w:eastAsia="pl-PL"/>
        </w:rPr>
        <w:t>jest beneficjent</w:t>
      </w:r>
      <w:r w:rsidR="00A51E38" w:rsidRPr="00BA3033">
        <w:rPr>
          <w:rFonts w:ascii="Arial" w:eastAsia="Times New Roman" w:hAnsi="Arial" w:cs="Arial"/>
          <w:lang w:eastAsia="pl-PL"/>
        </w:rPr>
        <w:t xml:space="preserve">, określony w rozdziale 2 pkt 1 </w:t>
      </w:r>
      <w:r w:rsidR="00A51E38" w:rsidRPr="00BA3033">
        <w:rPr>
          <w:rFonts w:ascii="Arial" w:eastAsia="Times New Roman" w:hAnsi="Arial" w:cs="Arial"/>
          <w:i/>
          <w:lang w:eastAsia="pl-PL"/>
        </w:rPr>
        <w:t>Wytycznych programowych</w:t>
      </w:r>
      <w:r w:rsidR="00F665EF" w:rsidRPr="00BA3033">
        <w:rPr>
          <w:rFonts w:ascii="Arial" w:eastAsia="Times New Roman" w:hAnsi="Arial" w:cs="Arial"/>
          <w:i/>
          <w:lang w:eastAsia="pl-PL"/>
        </w:rPr>
        <w:t xml:space="preserve">, </w:t>
      </w:r>
      <w:r w:rsidR="00F665EF" w:rsidRPr="00BA3033">
        <w:rPr>
          <w:rFonts w:ascii="Arial" w:eastAsia="Times New Roman" w:hAnsi="Arial" w:cs="Arial"/>
          <w:lang w:eastAsia="pl-PL"/>
        </w:rPr>
        <w:t>z zastrzeżeniem pkt 2 w rozdziale 4.3</w:t>
      </w:r>
      <w:r w:rsidR="00F665EF" w:rsidRPr="00BA3033">
        <w:rPr>
          <w:rFonts w:ascii="Arial" w:eastAsia="Times New Roman" w:hAnsi="Arial" w:cs="Arial"/>
          <w:i/>
          <w:lang w:eastAsia="pl-PL"/>
        </w:rPr>
        <w:t xml:space="preserve"> </w:t>
      </w:r>
      <w:r w:rsidR="00982440" w:rsidRPr="00BA3033">
        <w:rPr>
          <w:rFonts w:ascii="Arial" w:eastAsia="Times New Roman" w:hAnsi="Arial" w:cs="Arial"/>
          <w:i/>
          <w:lang w:eastAsia="pl-PL"/>
        </w:rPr>
        <w:t>.</w:t>
      </w:r>
      <w:r w:rsidR="00BA3033" w:rsidRPr="00BA3033">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dofinansowanie, powinna wskazywać czy parter lub partnerzy są jednocześnie podmiotami upoważnionymi do ponoszenia wydatków w projekcie.    </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Niezależnie od tego, czy beneficjent upoważni inny podmiot do ponoszenia wydatków kwalifikowalnych, </w:t>
      </w:r>
      <w:r w:rsidR="001C4734">
        <w:rPr>
          <w:rFonts w:ascii="Arial" w:eastAsia="Times New Roman" w:hAnsi="Arial" w:cs="Arial"/>
          <w:lang w:eastAsia="pl-PL"/>
        </w:rPr>
        <w:t>podmiot wskazany jako beneficjent w umowie o dofinansowanie</w:t>
      </w:r>
      <w:r w:rsidRPr="007E469E">
        <w:rPr>
          <w:rFonts w:ascii="Arial" w:eastAsia="Times New Roman" w:hAnsi="Arial" w:cs="Arial"/>
          <w:lang w:eastAsia="pl-PL"/>
        </w:rPr>
        <w:t>:</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Pr>
          <w:rFonts w:ascii="Arial" w:eastAsia="Times New Roman" w:hAnsi="Arial" w:cs="Arial"/>
          <w:lang w:eastAsia="pl-PL"/>
        </w:rPr>
        <w:t xml:space="preserve"> </w:t>
      </w:r>
      <w:r w:rsidRPr="007E469E">
        <w:rPr>
          <w:rFonts w:ascii="Arial" w:eastAsia="Times New Roman" w:hAnsi="Arial" w:cs="Arial"/>
          <w:lang w:eastAsia="pl-PL"/>
        </w:rPr>
        <w:t>o dofinansowanie, za prawidłowość całości wydatków kwalifikowalnych</w:t>
      </w:r>
      <w:r w:rsidR="008B1747">
        <w:rPr>
          <w:rFonts w:ascii="Arial" w:eastAsia="Times New Roman" w:hAnsi="Arial" w:cs="Arial"/>
          <w:lang w:eastAsia="pl-PL"/>
        </w:rPr>
        <w:t xml:space="preserve"> ponoszonych </w:t>
      </w:r>
      <w:r w:rsidRPr="007E469E">
        <w:rPr>
          <w:rFonts w:ascii="Arial" w:eastAsia="Times New Roman" w:hAnsi="Arial" w:cs="Arial"/>
          <w:lang w:eastAsia="pl-PL"/>
        </w:rPr>
        <w:t>w ramach projektu,</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zapewnienie trwałości projektu, zgodnie z art. 71 rozporządzenia ogólnego,</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zawsze pozostaje jedynym podmiotem właściwym do kontaktów z instytucjami w systemie realizacji POPC, </w:t>
      </w:r>
      <w:r w:rsidR="008B1747">
        <w:rPr>
          <w:rFonts w:ascii="Arial" w:eastAsia="Times New Roman" w:hAnsi="Arial" w:cs="Arial"/>
          <w:lang w:eastAsia="pl-PL"/>
        </w:rPr>
        <w:t xml:space="preserve">do </w:t>
      </w:r>
      <w:r w:rsidRPr="007E469E">
        <w:rPr>
          <w:rFonts w:ascii="Arial" w:eastAsia="Times New Roman" w:hAnsi="Arial" w:cs="Arial"/>
          <w:lang w:eastAsia="pl-PL"/>
        </w:rPr>
        <w:t xml:space="preserve">przedstawiania wniosków o płatność oraz </w:t>
      </w:r>
      <w:r w:rsidR="008B1747">
        <w:rPr>
          <w:rFonts w:ascii="Arial" w:eastAsia="Times New Roman" w:hAnsi="Arial" w:cs="Arial"/>
          <w:lang w:eastAsia="pl-PL"/>
        </w:rPr>
        <w:t xml:space="preserve">do </w:t>
      </w:r>
      <w:r w:rsidRPr="007E469E">
        <w:rPr>
          <w:rFonts w:ascii="Arial" w:eastAsia="Times New Roman" w:hAnsi="Arial" w:cs="Arial"/>
          <w:lang w:eastAsia="pl-PL"/>
        </w:rPr>
        <w:t>otrzymywania dofinansowania ze środków przeznaczonych na realizację POPC.</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Do wszystkich wydatków kwalifikowalnych mają zastosowanie te same wymogi dotyczące ich ponoszenia, dokumentowania, sporządzania wniosków o płatność itp., bez względu na to czy wydatek został poniesiony przez beneficjenta</w:t>
      </w:r>
      <w:r w:rsidR="00B9162C">
        <w:rPr>
          <w:rFonts w:ascii="Arial" w:eastAsia="Times New Roman" w:hAnsi="Arial" w:cs="Arial"/>
          <w:lang w:eastAsia="pl-PL"/>
        </w:rPr>
        <w:t xml:space="preserve"> będącego stroną umowy o dofinansowanie czy</w:t>
      </w:r>
      <w:r w:rsidRPr="007E469E">
        <w:rPr>
          <w:rFonts w:ascii="Arial" w:eastAsia="Times New Roman" w:hAnsi="Arial" w:cs="Arial"/>
          <w:lang w:eastAsia="pl-PL"/>
        </w:rPr>
        <w:t xml:space="preserve"> </w:t>
      </w:r>
      <w:r w:rsidR="00B32EA7" w:rsidRPr="007E469E">
        <w:rPr>
          <w:rFonts w:ascii="Arial" w:eastAsia="Times New Roman" w:hAnsi="Arial" w:cs="Arial"/>
          <w:lang w:eastAsia="pl-PL"/>
        </w:rPr>
        <w:t>partnera</w:t>
      </w:r>
      <w:r w:rsidR="00B9162C">
        <w:rPr>
          <w:rFonts w:ascii="Arial" w:eastAsia="Times New Roman" w:hAnsi="Arial" w:cs="Arial"/>
          <w:lang w:eastAsia="pl-PL"/>
        </w:rPr>
        <w:t>.</w:t>
      </w:r>
      <w:r w:rsidR="00B32EA7" w:rsidRPr="007E469E">
        <w:rPr>
          <w:rFonts w:ascii="Arial" w:eastAsia="Times New Roman" w:hAnsi="Arial" w:cs="Arial"/>
          <w:lang w:eastAsia="pl-PL"/>
        </w:rPr>
        <w:t xml:space="preserve"> </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428535201"/>
      <w:r w:rsidRPr="007E469E">
        <w:rPr>
          <w:rFonts w:ascii="Arial" w:hAnsi="Arial" w:cs="Arial"/>
          <w:i/>
          <w:color w:val="auto"/>
          <w:sz w:val="24"/>
          <w:szCs w:val="24"/>
        </w:rPr>
        <w:t>Podmiot na rzecz którego ponoszone są wydatki kwalifikowalne</w:t>
      </w:r>
      <w:bookmarkEnd w:id="76"/>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Co do zasady, wydatki kwalifikowalne ponoszone są na rzecz podmiotu (wykonawcy) będącego stroną umowy lub wskazanego w umowie o wykonanie dostaw, usług lub robót budowl</w:t>
      </w:r>
      <w:r w:rsidR="00AD289A">
        <w:rPr>
          <w:rFonts w:ascii="Arial" w:eastAsia="Times New Roman" w:hAnsi="Arial" w:cs="Arial"/>
          <w:lang w:eastAsia="pl-PL"/>
        </w:rPr>
        <w:t>a</w:t>
      </w:r>
      <w:r w:rsidRPr="00B53DFF">
        <w:rPr>
          <w:rFonts w:ascii="Arial" w:eastAsia="Times New Roman" w:hAnsi="Arial" w:cs="Arial"/>
          <w:lang w:eastAsia="pl-PL"/>
        </w:rPr>
        <w:t>nych zawartej z beneficjentem (zamawiającym).</w:t>
      </w:r>
    </w:p>
    <w:p w:rsidR="00A011A3" w:rsidRPr="00663591" w:rsidRDefault="00A011A3" w:rsidP="008A69F7">
      <w:pPr>
        <w:numPr>
          <w:ilvl w:val="0"/>
          <w:numId w:val="10"/>
        </w:numPr>
        <w:spacing w:before="120" w:after="120" w:line="360" w:lineRule="auto"/>
        <w:jc w:val="both"/>
        <w:rPr>
          <w:rFonts w:ascii="Arial" w:eastAsia="Times New Roman" w:hAnsi="Arial" w:cs="Arial"/>
          <w:lang w:eastAsia="pl-PL"/>
        </w:rPr>
      </w:pPr>
      <w:r w:rsidRPr="00663591">
        <w:rPr>
          <w:rFonts w:ascii="Arial" w:eastAsia="Times New Roman" w:hAnsi="Arial" w:cs="Arial"/>
          <w:lang w:eastAsia="pl-PL"/>
        </w:rPr>
        <w:t>Na podstawie umowy, o której mowa w pkt 1 beneficjent dokonuje płatności na rzecz 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8940CA">
        <w:rPr>
          <w:rFonts w:ascii="Arial" w:eastAsia="Times New Roman" w:hAnsi="Arial" w:cs="Arial"/>
          <w:lang w:eastAsia="pl-PL"/>
        </w:rPr>
        <w:t xml:space="preserve">Mając na uwadze </w:t>
      </w:r>
      <w:r w:rsidRPr="004E62D9">
        <w:rPr>
          <w:rFonts w:ascii="Arial" w:eastAsia="Times New Roman" w:hAnsi="Arial" w:cs="Arial"/>
          <w:lang w:eastAsia="pl-PL"/>
        </w:rPr>
        <w:t xml:space="preserve">art. 143c ustawy </w:t>
      </w:r>
      <w:proofErr w:type="spellStart"/>
      <w:r w:rsidRPr="004E62D9">
        <w:rPr>
          <w:rFonts w:ascii="Arial" w:eastAsia="Times New Roman" w:hAnsi="Arial" w:cs="Arial"/>
          <w:lang w:eastAsia="pl-PL"/>
        </w:rPr>
        <w:t>Pzp</w:t>
      </w:r>
      <w:proofErr w:type="spellEnd"/>
      <w:r w:rsidRPr="00990900">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990900">
        <w:rPr>
          <w:rFonts w:ascii="Arial" w:eastAsia="Times New Roman" w:hAnsi="Arial" w:cs="Arial"/>
          <w:lang w:eastAsia="pl-PL"/>
        </w:rPr>
        <w:t>Pzp</w:t>
      </w:r>
      <w:proofErr w:type="spellEnd"/>
      <w:r w:rsidRPr="00990900">
        <w:rPr>
          <w:rFonts w:ascii="Arial" w:eastAsia="Times New Roman" w:hAnsi="Arial" w:cs="Arial"/>
          <w:lang w:eastAsia="pl-PL"/>
        </w:rPr>
        <w:t>, zamawiający dokonuje</w:t>
      </w:r>
      <w:r w:rsidRPr="00B53DFF">
        <w:rPr>
          <w:rFonts w:ascii="Arial" w:eastAsia="Times New Roman" w:hAnsi="Arial" w:cs="Arial"/>
          <w:lang w:eastAsia="pl-PL"/>
        </w:rPr>
        <w:t xml:space="preserve"> </w:t>
      </w:r>
      <w:r w:rsidRPr="00B53DFF">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53DFF">
        <w:rPr>
          <w:rFonts w:ascii="Arial" w:eastAsia="Times New Roman" w:hAnsi="Arial" w:cs="Arial"/>
          <w:lang w:eastAsia="pl-PL"/>
        </w:rPr>
        <w:t xml:space="preserve"> </w:t>
      </w:r>
    </w:p>
    <w:p w:rsidR="00C4069A" w:rsidRPr="005A373A"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Wydatki kwalifikowalne stanowi wówczas</w:t>
      </w:r>
      <w:r w:rsidRPr="00B53DFF">
        <w:rPr>
          <w:rFonts w:ascii="A" w:hAnsi="A" w:cs="A"/>
        </w:rPr>
        <w:t xml:space="preserve"> wyłącznie wynagrodzenie dotyczące należności powstałych</w:t>
      </w:r>
      <w:r w:rsidR="00C4069A">
        <w:rPr>
          <w:rFonts w:ascii="A" w:hAnsi="A" w:cs="A"/>
        </w:rPr>
        <w:t>:</w:t>
      </w:r>
    </w:p>
    <w:p w:rsidR="00C4069A" w:rsidRDefault="00C4069A" w:rsidP="005A373A">
      <w:pPr>
        <w:spacing w:before="120" w:after="120" w:line="360" w:lineRule="auto"/>
        <w:ind w:left="360"/>
        <w:jc w:val="both"/>
        <w:rPr>
          <w:rFonts w:ascii="A" w:hAnsi="A" w:cs="A"/>
        </w:rPr>
      </w:pPr>
      <w:r>
        <w:rPr>
          <w:rFonts w:ascii="A" w:hAnsi="A" w:cs="A"/>
        </w:rPr>
        <w:t xml:space="preserve">- </w:t>
      </w:r>
      <w:r w:rsidR="00A011A3" w:rsidRPr="00B53DFF">
        <w:rPr>
          <w:rFonts w:ascii="A" w:hAnsi="A" w:cs="A"/>
        </w:rPr>
        <w:t xml:space="preserve"> po zaakceptowaniu przez </w:t>
      </w:r>
      <w:r w:rsidR="00A011A3" w:rsidRPr="00B53DFF">
        <w:rPr>
          <w:rFonts w:ascii="Arial" w:eastAsia="Times New Roman" w:hAnsi="Arial" w:cs="Arial"/>
          <w:lang w:eastAsia="pl-PL"/>
        </w:rPr>
        <w:t xml:space="preserve">beneficjenta </w:t>
      </w:r>
      <w:r w:rsidR="00A011A3" w:rsidRPr="00B53DFF">
        <w:rPr>
          <w:rFonts w:ascii="A" w:hAnsi="A" w:cs="A"/>
        </w:rPr>
        <w:t xml:space="preserve">umowy o podwykonawstwo, której przedmiotem są roboty budowlane, lub </w:t>
      </w:r>
    </w:p>
    <w:p w:rsidR="00A011A3" w:rsidRPr="00B53DFF" w:rsidRDefault="00C4069A" w:rsidP="005A373A">
      <w:pPr>
        <w:spacing w:before="120" w:after="120" w:line="360" w:lineRule="auto"/>
        <w:ind w:left="360"/>
        <w:jc w:val="both"/>
        <w:rPr>
          <w:rFonts w:ascii="Arial" w:eastAsia="Times New Roman" w:hAnsi="Arial" w:cs="Arial"/>
          <w:lang w:eastAsia="pl-PL"/>
        </w:rPr>
      </w:pPr>
      <w:r>
        <w:rPr>
          <w:rFonts w:ascii="A" w:hAnsi="A" w:cs="A"/>
        </w:rPr>
        <w:t xml:space="preserve">- </w:t>
      </w:r>
      <w:r w:rsidR="00A011A3" w:rsidRPr="00B53DFF">
        <w:rPr>
          <w:rFonts w:ascii="A" w:hAnsi="A" w:cs="A"/>
        </w:rPr>
        <w:t>po przedłożeniu zamawiającemu poświadczonej za zgodność z oryginałem kopii umowy o podwykonawstwo, której przedmiotem są dostawy lub usługi – bez odsetek, należnych podwykonawcy lub dalszemu podwykonawcy.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Postanowienia, o których mowa w pkt 3-5 stosuje się odpowiednio do wydatków ponoszonych przez podmioty zobowiązane do stosowania zasady konkurencyjności, o której mowa w sekcji 6.5.3 </w:t>
      </w:r>
      <w:r w:rsidRPr="00B53DFF">
        <w:rPr>
          <w:rFonts w:ascii="Arial" w:eastAsia="Times New Roman" w:hAnsi="Arial" w:cs="Arial"/>
          <w:i/>
          <w:lang w:eastAsia="pl-PL"/>
        </w:rPr>
        <w:t>Wytycznych horyzontalnych.</w:t>
      </w:r>
    </w:p>
    <w:p w:rsidR="00A011A3"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53DFF" w:rsidRDefault="008C0F3D" w:rsidP="008C0F3D">
      <w:pPr>
        <w:numPr>
          <w:ilvl w:val="0"/>
          <w:numId w:val="10"/>
        </w:numPr>
        <w:spacing w:before="120" w:after="120" w:line="360" w:lineRule="auto"/>
        <w:jc w:val="both"/>
        <w:rPr>
          <w:rFonts w:ascii="Arial" w:eastAsia="Times New Roman" w:hAnsi="Arial" w:cs="Arial"/>
          <w:lang w:eastAsia="pl-PL"/>
        </w:rPr>
      </w:pPr>
      <w:r w:rsidRPr="008C0F3D">
        <w:rPr>
          <w:rFonts w:ascii="Arial" w:eastAsia="Times New Roman" w:hAnsi="Arial" w:cs="Arial"/>
          <w:lang w:eastAsia="pl-PL"/>
        </w:rPr>
        <w:t>W przypadku dokonania przez wykonawcę cesji wierzytelności na rzecz innego podmiotu, wydatki poniesione przez zamawiającego na rachunek bankowy Cesjonariusza mogą być uznane za kwalifikowalne, jeśli zostaną poniesione zgodnie z pozostałymi wymogami dotyczącymi kwalifikowania wydatków oraz pod warunkiem dokonania cesji zgodnie z prawem</w:t>
      </w:r>
      <w:r>
        <w:rPr>
          <w:rFonts w:ascii="Arial" w:eastAsia="Times New Roman" w:hAnsi="Arial" w:cs="Arial"/>
          <w:lang w:eastAsia="pl-PL"/>
        </w:rPr>
        <w:t>.</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7" w:name="_Toc428275503"/>
      <w:bookmarkStart w:id="78" w:name="_Toc428275505"/>
      <w:bookmarkStart w:id="79" w:name="_Toc428275506"/>
      <w:bookmarkStart w:id="80" w:name="_Toc428275507"/>
      <w:bookmarkStart w:id="81" w:name="_Toc428275509"/>
      <w:bookmarkStart w:id="82" w:name="_Toc428275510"/>
      <w:bookmarkStart w:id="83" w:name="_Toc428275511"/>
      <w:bookmarkStart w:id="84" w:name="_Toc428275512"/>
      <w:bookmarkStart w:id="85" w:name="_Toc428275515"/>
      <w:bookmarkStart w:id="86" w:name="_Toc428275516"/>
      <w:bookmarkStart w:id="87" w:name="_Toc428275518"/>
      <w:bookmarkStart w:id="88" w:name="_Toc428275520"/>
      <w:bookmarkStart w:id="89" w:name="_Toc428535202"/>
      <w:bookmarkEnd w:id="77"/>
      <w:bookmarkEnd w:id="78"/>
      <w:bookmarkEnd w:id="79"/>
      <w:bookmarkEnd w:id="80"/>
      <w:bookmarkEnd w:id="81"/>
      <w:bookmarkEnd w:id="82"/>
      <w:bookmarkEnd w:id="83"/>
      <w:bookmarkEnd w:id="84"/>
      <w:bookmarkEnd w:id="85"/>
      <w:bookmarkEnd w:id="86"/>
      <w:bookmarkEnd w:id="87"/>
      <w:bookmarkEnd w:id="88"/>
      <w:r w:rsidRPr="007E469E">
        <w:rPr>
          <w:rFonts w:ascii="Arial" w:hAnsi="Arial" w:cs="Arial"/>
          <w:color w:val="auto"/>
          <w:sz w:val="24"/>
          <w:szCs w:val="24"/>
        </w:rPr>
        <w:t>Rozdział - Oś priorytetowa II. E-administracja i otwarty rząd - szczegółowe zasady kwalifikowalności wydatków w ramach EFRR</w:t>
      </w:r>
      <w:bookmarkEnd w:id="89"/>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A7227A">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Default="00B53DFF"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B53DFF">
        <w:rPr>
          <w:rFonts w:ascii="Arial" w:eastAsia="MS Mincho" w:hAnsi="Arial" w:cs="Arial"/>
          <w:lang w:eastAsia="ja-JP"/>
        </w:rPr>
        <w:t>W ramach II osi priorytetowej nie dopuszcza się stosowania uproszczonych metod rozliczania wydatków.</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A7227A">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5C4465">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(wynagrodzenia pracowników wykonujących czynności </w:t>
            </w:r>
            <w:r w:rsidR="002877CA" w:rsidRPr="00AE367A">
              <w:rPr>
                <w:rFonts w:ascii="Arial" w:hAnsi="Arial" w:cs="Arial"/>
              </w:rPr>
              <w:t>nie</w:t>
            </w:r>
            <w:r w:rsidR="00346E16" w:rsidRPr="00AE367A">
              <w:rPr>
                <w:rFonts w:ascii="Arial" w:hAnsi="Arial" w:cs="Arial"/>
              </w:rPr>
              <w:t xml:space="preserve">związane </w:t>
            </w:r>
            <w:r w:rsidR="002877CA" w:rsidRPr="00AE367A">
              <w:rPr>
                <w:rFonts w:ascii="Arial" w:hAnsi="Arial" w:cs="Arial"/>
              </w:rPr>
              <w:t xml:space="preserve">bezpośrednio </w:t>
            </w:r>
            <w:r w:rsidR="00346E16" w:rsidRPr="00AE367A">
              <w:rPr>
                <w:rFonts w:ascii="Arial" w:hAnsi="Arial" w:cs="Arial"/>
              </w:rPr>
              <w:t xml:space="preserve">z </w:t>
            </w:r>
            <w:r w:rsidR="005C4465">
              <w:rPr>
                <w:rFonts w:ascii="Arial" w:hAnsi="Arial" w:cs="Arial"/>
              </w:rPr>
              <w:t>głównymi celami i produktami projektu</w:t>
            </w:r>
            <w:r w:rsidR="00CA15AD" w:rsidRPr="00AE367A">
              <w:rPr>
                <w:rFonts w:ascii="Arial" w:hAnsi="Arial" w:cs="Arial"/>
              </w:rPr>
              <w:t>)</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833A56" w:rsidRDefault="00833A56" w:rsidP="00833A56">
      <w:pPr>
        <w:pStyle w:val="Nagwek2"/>
        <w:spacing w:before="240" w:after="60" w:line="360" w:lineRule="auto"/>
        <w:ind w:left="1004"/>
        <w:rPr>
          <w:rFonts w:ascii="Arial" w:hAnsi="Arial" w:cs="Arial"/>
          <w:i/>
          <w:color w:val="auto"/>
          <w:sz w:val="24"/>
          <w:szCs w:val="24"/>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90" w:name="_Toc428535203"/>
      <w:r w:rsidRPr="007E469E">
        <w:rPr>
          <w:rFonts w:ascii="Arial" w:hAnsi="Arial" w:cs="Arial"/>
          <w:i/>
          <w:color w:val="auto"/>
          <w:sz w:val="24"/>
          <w:szCs w:val="24"/>
        </w:rPr>
        <w:t>Wydatki kwalifikowalne</w:t>
      </w:r>
      <w:bookmarkEnd w:id="90"/>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91" w:name="_Toc428535204"/>
      <w:r w:rsidRPr="008D3EC8">
        <w:rPr>
          <w:rFonts w:ascii="Arial" w:hAnsi="Arial" w:cs="Arial"/>
          <w:b w:val="0"/>
          <w:i/>
          <w:color w:val="auto"/>
          <w:sz w:val="24"/>
          <w:szCs w:val="24"/>
        </w:rPr>
        <w:t>Wykaz wydatków kwalifikowalnych ponoszonych na rzecz projektów realizowanych w ramach II osi priorytetowej</w:t>
      </w:r>
      <w:bookmarkEnd w:id="91"/>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Wydatki wymienione w poniższych sekcjach uznaje się za kwalifikowalne, o ile poniesione zostały w okresie realizacji projektu. Zasada ta nie dotyczy wydatków na przygotowanie projektu</w:t>
      </w:r>
      <w:r w:rsidR="005223A0" w:rsidRPr="00AE367A">
        <w:rPr>
          <w:rFonts w:ascii="Arial" w:eastAsia="MS Mincho" w:hAnsi="Arial" w:cs="Arial"/>
          <w:lang w:eastAsia="ja-JP"/>
        </w:rPr>
        <w:t xml:space="preserve">, które mogą być poniesione przed </w:t>
      </w:r>
      <w:r w:rsidR="00AE367A">
        <w:rPr>
          <w:rFonts w:ascii="Arial" w:eastAsia="MS Mincho" w:hAnsi="Arial" w:cs="Arial"/>
          <w:lang w:eastAsia="ja-JP"/>
        </w:rPr>
        <w:t>rozpoczęciem</w:t>
      </w:r>
      <w:r w:rsidR="005223A0" w:rsidRPr="00AE367A">
        <w:rPr>
          <w:rFonts w:ascii="Arial" w:eastAsia="MS Mincho" w:hAnsi="Arial" w:cs="Arial"/>
          <w:lang w:eastAsia="ja-JP"/>
        </w:rPr>
        <w:t xml:space="preserve"> realizacji projektu.</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8"/>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91631C">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91631C">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91631C">
        <w:rPr>
          <w:color w:val="auto"/>
          <w:sz w:val="22"/>
          <w:szCs w:val="22"/>
        </w:rPr>
        <w:t>digitalizacji (skanery, kamery cyfrowe, oświetlenie, zestawy komputerowe, podzespoły komputerowe, kalibratory i spektrofotometry, akcesoria itp.)</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modernizację sprzętu do digitalizacji</w:t>
      </w:r>
      <w:r w:rsidR="00050247">
        <w:rPr>
          <w:color w:val="auto"/>
          <w:sz w:val="22"/>
          <w:szCs w:val="22"/>
        </w:rPr>
        <w:t xml:space="preserve"> w zakresie w jakim jest to niezbędne do realizacji projektu</w:t>
      </w:r>
      <w:r w:rsidRPr="0091631C">
        <w:rPr>
          <w:color w:val="auto"/>
          <w:sz w:val="22"/>
          <w:szCs w:val="22"/>
        </w:rPr>
        <w:t>, pod warunkiem, że sprzęt ten nie został zakupiony przy współfinansowaniu ze środków funduszy unijnych,</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utrzymanie sprzętu w okresie realizacji projektu,</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opiekę serwisową posprzedażową (</w:t>
      </w:r>
      <w:proofErr w:type="spellStart"/>
      <w:r w:rsidRPr="0091631C">
        <w:rPr>
          <w:color w:val="auto"/>
          <w:sz w:val="22"/>
          <w:szCs w:val="22"/>
        </w:rPr>
        <w:t>maintenance</w:t>
      </w:r>
      <w:proofErr w:type="spellEnd"/>
      <w:r w:rsidRPr="0091631C">
        <w:rPr>
          <w:color w:val="auto"/>
          <w:sz w:val="22"/>
          <w:szCs w:val="22"/>
        </w:rPr>
        <w:t>)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leasing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najem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wydatki na dzierżawę sprzętu do digitalizacji,</w:t>
      </w:r>
    </w:p>
    <w:p w:rsidR="0057541F" w:rsidRPr="0091631C" w:rsidRDefault="0057541F" w:rsidP="0091631C">
      <w:pPr>
        <w:pStyle w:val="Default"/>
        <w:numPr>
          <w:ilvl w:val="0"/>
          <w:numId w:val="27"/>
        </w:numPr>
        <w:spacing w:before="120" w:after="120" w:line="360" w:lineRule="auto"/>
        <w:jc w:val="both"/>
      </w:pPr>
      <w:r w:rsidRPr="0091631C">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Pr="007E469E"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Pr>
          <w:color w:val="auto"/>
          <w:sz w:val="22"/>
          <w:szCs w:val="22"/>
        </w:rPr>
        <w:t>.</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 prawne,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91631C">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91631C">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903FFD" w:rsidRPr="002877CA"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 xml:space="preserve">merytoryczne zadania bezpośrednio związane z głównymi celami i produktami projektu </w:t>
      </w:r>
      <w:r w:rsidRPr="008F7DE0">
        <w:rPr>
          <w:rFonts w:ascii="Arial" w:hAnsi="Arial" w:cs="Arial"/>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wydatki </w:t>
      </w:r>
      <w:r w:rsidR="00151E60" w:rsidRPr="00CF30FC">
        <w:rPr>
          <w:color w:val="auto"/>
          <w:sz w:val="22"/>
          <w:szCs w:val="22"/>
        </w:rPr>
        <w:t xml:space="preserve"> </w:t>
      </w: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91631C">
      <w:pPr>
        <w:pStyle w:val="Default"/>
        <w:numPr>
          <w:ilvl w:val="0"/>
          <w:numId w:val="45"/>
        </w:numPr>
        <w:spacing w:line="360" w:lineRule="auto"/>
        <w:ind w:left="993"/>
        <w:jc w:val="both"/>
      </w:pPr>
      <w:r w:rsidRPr="0091631C">
        <w:rPr>
          <w:color w:val="auto"/>
          <w:sz w:val="22"/>
          <w:szCs w:val="22"/>
        </w:rPr>
        <w:t xml:space="preserve">poniesione w związku z </w:t>
      </w:r>
      <w:r w:rsidR="00230FA5" w:rsidRPr="0091631C">
        <w:rPr>
          <w:color w:val="auto"/>
          <w:sz w:val="22"/>
          <w:szCs w:val="22"/>
        </w:rPr>
        <w:t>realizacją</w:t>
      </w:r>
      <w:r w:rsidRPr="0091631C">
        <w:rPr>
          <w:color w:val="auto"/>
          <w:sz w:val="22"/>
          <w:szCs w:val="22"/>
        </w:rPr>
        <w:t xml:space="preserve"> </w:t>
      </w:r>
      <w:r w:rsidR="00230FA5" w:rsidRPr="0091631C">
        <w:rPr>
          <w:color w:val="auto"/>
          <w:sz w:val="22"/>
          <w:szCs w:val="22"/>
        </w:rPr>
        <w:t xml:space="preserve">działań informacyjno-promocyjnych, w tym m.in. </w:t>
      </w:r>
      <w:r w:rsidRPr="0091631C">
        <w:rPr>
          <w:color w:val="auto"/>
          <w:sz w:val="22"/>
          <w:szCs w:val="22"/>
        </w:rPr>
        <w:t>kampanii</w:t>
      </w:r>
      <w:r w:rsidR="00AF3AEE" w:rsidRPr="0091631C">
        <w:rPr>
          <w:color w:val="auto"/>
          <w:sz w:val="22"/>
          <w:szCs w:val="22"/>
        </w:rPr>
        <w:t xml:space="preserve">, </w:t>
      </w:r>
      <w:r w:rsidRPr="0091631C">
        <w:rPr>
          <w:color w:val="auto"/>
          <w:sz w:val="22"/>
          <w:szCs w:val="22"/>
        </w:rPr>
        <w:t>promocji w mediach elektronicznych i</w:t>
      </w:r>
      <w:r w:rsidR="00230FA5" w:rsidRPr="0091631C">
        <w:rPr>
          <w:color w:val="auto"/>
          <w:sz w:val="22"/>
          <w:szCs w:val="22"/>
        </w:rPr>
        <w:t> </w:t>
      </w:r>
      <w:r w:rsidRPr="0091631C">
        <w:rPr>
          <w:color w:val="auto"/>
          <w:sz w:val="22"/>
          <w:szCs w:val="22"/>
        </w:rPr>
        <w:t>tradycyjnych</w:t>
      </w:r>
      <w:r w:rsidR="00230FA5" w:rsidRPr="0091631C">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Pr="00034FB2"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Pr>
          <w:rStyle w:val="Odwoanieprzypisudolnego"/>
          <w:color w:val="auto"/>
          <w:sz w:val="22"/>
          <w:szCs w:val="22"/>
        </w:rPr>
        <w:footnoteReference w:id="19"/>
      </w:r>
      <w:r>
        <w:rPr>
          <w:color w:val="auto"/>
          <w:sz w:val="22"/>
          <w:szCs w:val="22"/>
        </w:rPr>
        <w:t xml:space="preserve">. </w:t>
      </w:r>
    </w:p>
    <w:p w:rsidR="00903FFD" w:rsidRPr="007E469E"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903FFD" w:rsidRPr="007E469E" w:rsidRDefault="001008EC" w:rsidP="008A69F7">
      <w:pPr>
        <w:pStyle w:val="Akapitzlist"/>
        <w:numPr>
          <w:ilvl w:val="1"/>
          <w:numId w:val="12"/>
        </w:numPr>
        <w:spacing w:after="0" w:line="360" w:lineRule="auto"/>
        <w:ind w:hanging="357"/>
        <w:jc w:val="both"/>
        <w:rPr>
          <w:rFonts w:ascii="Arial" w:hAnsi="Arial" w:cs="Arial"/>
        </w:rPr>
      </w:pPr>
      <w:r>
        <w:rPr>
          <w:rFonts w:ascii="Arial" w:hAnsi="Arial" w:cs="Arial"/>
        </w:rPr>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r w:rsidR="00903FFD" w:rsidRPr="007E469E">
        <w:rPr>
          <w:rFonts w:ascii="Arial" w:hAnsi="Arial" w:cs="Arial"/>
        </w:rPr>
        <w:t xml:space="preserve"> </w:t>
      </w:r>
    </w:p>
    <w:p w:rsidR="00903FFD" w:rsidRPr="00E20860" w:rsidRDefault="00903FFD" w:rsidP="00E20860">
      <w:pPr>
        <w:pStyle w:val="Default"/>
        <w:spacing w:line="360" w:lineRule="auto"/>
        <w:ind w:left="708"/>
        <w:jc w:val="both"/>
        <w:rPr>
          <w:color w:val="auto"/>
          <w:sz w:val="22"/>
          <w:szCs w:val="22"/>
        </w:rPr>
      </w:pPr>
      <w:r w:rsidRPr="00E20860">
        <w:rPr>
          <w:color w:val="auto"/>
          <w:sz w:val="22"/>
          <w:szCs w:val="22"/>
        </w:rPr>
        <w:t xml:space="preserve">W ramach osi II wydatkami kwalifikowalnymi w ramach </w:t>
      </w:r>
      <w:r w:rsidR="001008EC">
        <w:rPr>
          <w:color w:val="auto"/>
          <w:sz w:val="22"/>
          <w:szCs w:val="22"/>
        </w:rPr>
        <w:t xml:space="preserve">pokrycia </w:t>
      </w:r>
      <w:r w:rsidRPr="00E20860">
        <w:rPr>
          <w:color w:val="auto"/>
          <w:sz w:val="22"/>
          <w:szCs w:val="22"/>
        </w:rPr>
        <w:t xml:space="preserve">kosztów pośrednich mogą być jedynie </w:t>
      </w:r>
      <w:r w:rsidR="001008EC">
        <w:rPr>
          <w:color w:val="auto"/>
          <w:sz w:val="22"/>
          <w:szCs w:val="22"/>
        </w:rPr>
        <w:t>wydatki</w:t>
      </w:r>
      <w:r w:rsidR="001008EC" w:rsidRPr="00E20860">
        <w:rPr>
          <w:color w:val="auto"/>
          <w:sz w:val="22"/>
          <w:szCs w:val="22"/>
        </w:rPr>
        <w:t xml:space="preserve"> </w:t>
      </w:r>
      <w:r w:rsidRPr="00E20860">
        <w:rPr>
          <w:color w:val="auto"/>
          <w:sz w:val="22"/>
          <w:szCs w:val="22"/>
        </w:rPr>
        <w:t>związane z zaangażowaniem pracowników</w:t>
      </w:r>
      <w:r w:rsidR="002877CA" w:rsidRPr="00E20860">
        <w:rPr>
          <w:color w:val="auto"/>
          <w:sz w:val="22"/>
          <w:szCs w:val="22"/>
        </w:rPr>
        <w:t xml:space="preserve"> wykonujących </w:t>
      </w:r>
      <w:r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Pr="00E20860">
        <w:rPr>
          <w:color w:val="auto"/>
          <w:sz w:val="22"/>
          <w:szCs w:val="22"/>
        </w:rPr>
        <w:t xml:space="preserve">. </w:t>
      </w:r>
      <w:r w:rsidR="008E14C5">
        <w:rPr>
          <w:color w:val="auto"/>
          <w:sz w:val="22"/>
          <w:szCs w:val="22"/>
        </w:rPr>
        <w:t>Można do nich zaliczyć</w:t>
      </w:r>
      <w:r w:rsidR="001008EC">
        <w:rPr>
          <w:color w:val="auto"/>
          <w:sz w:val="22"/>
          <w:szCs w:val="22"/>
        </w:rPr>
        <w:t xml:space="preserve"> wydatki poniesione na </w:t>
      </w:r>
      <w:r w:rsidR="00482633">
        <w:rPr>
          <w:color w:val="auto"/>
          <w:sz w:val="22"/>
          <w:szCs w:val="22"/>
        </w:rPr>
        <w:t>pokrycie</w:t>
      </w:r>
      <w:r w:rsidRPr="00E20860">
        <w:rPr>
          <w:color w:val="auto"/>
          <w:sz w:val="22"/>
          <w:szCs w:val="22"/>
        </w:rPr>
        <w:t>:</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personelu zarządzającego jednostki, </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koordynatora</w:t>
      </w:r>
      <w:r w:rsidR="00371298">
        <w:rPr>
          <w:color w:val="auto"/>
          <w:sz w:val="22"/>
          <w:szCs w:val="22"/>
        </w:rPr>
        <w:t>/kierownika</w:t>
      </w:r>
      <w:r w:rsidRPr="00C31104">
        <w:rPr>
          <w:color w:val="auto"/>
          <w:sz w:val="22"/>
          <w:szCs w:val="22"/>
        </w:rPr>
        <w:t xml:space="preserve"> projektu i asystenta, </w:t>
      </w:r>
    </w:p>
    <w:p w:rsidR="00903FFD" w:rsidRPr="00C31104" w:rsidRDefault="00903FFD" w:rsidP="000C13DB">
      <w:pPr>
        <w:pStyle w:val="Default"/>
        <w:numPr>
          <w:ilvl w:val="0"/>
          <w:numId w:val="90"/>
        </w:numPr>
        <w:spacing w:line="360" w:lineRule="auto"/>
        <w:jc w:val="both"/>
        <w:rPr>
          <w:color w:val="auto"/>
          <w:sz w:val="22"/>
          <w:szCs w:val="22"/>
        </w:rPr>
      </w:pPr>
      <w:r w:rsidRPr="00C31104">
        <w:rPr>
          <w:color w:val="auto"/>
          <w:sz w:val="22"/>
          <w:szCs w:val="22"/>
        </w:rPr>
        <w:t>koszt</w:t>
      </w:r>
      <w:r w:rsidR="001008EC">
        <w:rPr>
          <w:color w:val="auto"/>
          <w:sz w:val="22"/>
          <w:szCs w:val="22"/>
        </w:rPr>
        <w:t>ów</w:t>
      </w:r>
      <w:r w:rsidRPr="00C31104">
        <w:rPr>
          <w:color w:val="auto"/>
          <w:sz w:val="22"/>
          <w:szCs w:val="22"/>
        </w:rPr>
        <w:t xml:space="preserve"> wynagrodze</w:t>
      </w:r>
      <w:r w:rsidR="001008EC">
        <w:rPr>
          <w:color w:val="auto"/>
          <w:sz w:val="22"/>
          <w:szCs w:val="22"/>
        </w:rPr>
        <w:t>ń</w:t>
      </w:r>
      <w:r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 publicznych</w:t>
      </w:r>
      <w:r w:rsidR="00007CB4">
        <w:rPr>
          <w:color w:val="auto"/>
          <w:sz w:val="22"/>
          <w:szCs w:val="22"/>
        </w:rPr>
        <w:t xml:space="preserve">, prawnym </w:t>
      </w:r>
      <w:r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Pr="00C31104">
        <w:rPr>
          <w:color w:val="auto"/>
          <w:sz w:val="22"/>
          <w:szCs w:val="22"/>
        </w:rPr>
        <w:t>projektu.</w:t>
      </w:r>
    </w:p>
    <w:p w:rsidR="00EF19AE" w:rsidRDefault="00AB17BC" w:rsidP="003B4005">
      <w:pPr>
        <w:pStyle w:val="Default"/>
        <w:spacing w:line="360" w:lineRule="auto"/>
        <w:ind w:left="708"/>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p>
    <w:p w:rsidR="00AB17BC" w:rsidRPr="003B4005" w:rsidRDefault="00EF19AE" w:rsidP="003B4005">
      <w:pPr>
        <w:pStyle w:val="Default"/>
        <w:spacing w:line="360" w:lineRule="auto"/>
        <w:ind w:left="708"/>
        <w:jc w:val="both"/>
      </w:pPr>
      <w:r>
        <w:rPr>
          <w:color w:val="auto"/>
          <w:sz w:val="22"/>
          <w:szCs w:val="22"/>
        </w:rPr>
        <w:t xml:space="preserve">Dla projektów wybranych do dofinansowania w ramach naboru dla działania 2.1 </w:t>
      </w:r>
      <w:r w:rsidRPr="00EF19AE">
        <w:rPr>
          <w:color w:val="auto"/>
          <w:sz w:val="22"/>
          <w:szCs w:val="22"/>
        </w:rPr>
        <w:t>nr POPC.02.01.00-IP.01-00-001/15</w:t>
      </w:r>
      <w:r>
        <w:rPr>
          <w:color w:val="auto"/>
          <w:sz w:val="22"/>
          <w:szCs w:val="22"/>
        </w:rPr>
        <w:t xml:space="preserve"> powyższe wydatki są kwalifikowalne do </w:t>
      </w:r>
      <w:r w:rsidRPr="00EF19AE">
        <w:rPr>
          <w:color w:val="auto"/>
          <w:sz w:val="22"/>
          <w:szCs w:val="22"/>
        </w:rPr>
        <w:t>wysokości nieprzekraczającej 25% całkowitych bezpośrednich wydatków kwalifikowalnych projektu</w:t>
      </w:r>
      <w:r>
        <w:rPr>
          <w:color w:val="auto"/>
          <w:sz w:val="22"/>
          <w:szCs w:val="22"/>
        </w:rPr>
        <w:t>.</w:t>
      </w:r>
      <w:r w:rsidRPr="00EF19AE">
        <w:rPr>
          <w:color w:val="auto"/>
          <w:sz w:val="22"/>
          <w:szCs w:val="22"/>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91631C">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bez tej rezerwy, a do proponowanego projektu załączona jest szczegółowa analiza ryzyka, uzasadniająca utworzenie rezerwy.</w:t>
      </w:r>
      <w:r w:rsidR="00BF7807">
        <w:rPr>
          <w:color w:val="auto"/>
          <w:sz w:val="22"/>
          <w:szCs w:val="22"/>
        </w:rPr>
        <w:t xml:space="preserve"> Brak lub niewystarczające uzasadnienie dla utworzenia rezerwy</w:t>
      </w:r>
      <w:r w:rsidR="00E31676">
        <w:rPr>
          <w:color w:val="auto"/>
          <w:sz w:val="22"/>
          <w:szCs w:val="22"/>
        </w:rPr>
        <w:t xml:space="preserve"> w danej wysokości</w:t>
      </w:r>
      <w:r w:rsidR="00BF7807">
        <w:rPr>
          <w:color w:val="auto"/>
          <w:sz w:val="22"/>
          <w:szCs w:val="22"/>
        </w:rPr>
        <w:t xml:space="preserve"> będzie skutkować </w:t>
      </w:r>
      <w:proofErr w:type="spellStart"/>
      <w:r w:rsidR="00BF7807">
        <w:rPr>
          <w:color w:val="auto"/>
          <w:sz w:val="22"/>
          <w:szCs w:val="22"/>
        </w:rPr>
        <w:t>niekwalifikowalnością</w:t>
      </w:r>
      <w:proofErr w:type="spellEnd"/>
      <w:r w:rsidR="00BF7807">
        <w:rPr>
          <w:color w:val="auto"/>
          <w:sz w:val="22"/>
          <w:szCs w:val="22"/>
        </w:rPr>
        <w:t xml:space="preserve"> przeznaczonych na nią wydatków.</w:t>
      </w:r>
      <w:r w:rsidRPr="007E469E">
        <w:rPr>
          <w:color w:val="auto"/>
          <w:sz w:val="22"/>
          <w:szCs w:val="22"/>
        </w:rPr>
        <w:t xml:space="preserve"> 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2304AA">
        <w:rPr>
          <w:color w:val="auto"/>
          <w:sz w:val="22"/>
          <w:szCs w:val="22"/>
        </w:rPr>
        <w:t>1</w:t>
      </w:r>
      <w:r w:rsidR="00BA671C">
        <w:rPr>
          <w:color w:val="auto"/>
          <w:sz w:val="22"/>
          <w:szCs w:val="22"/>
        </w:rPr>
        <w:t xml:space="preserve"> </w:t>
      </w:r>
      <w:r w:rsidRPr="007E469E">
        <w:rPr>
          <w:color w:val="auto"/>
          <w:sz w:val="22"/>
          <w:szCs w:val="22"/>
        </w:rPr>
        <w:t>zamieszczonej w rozdziale</w:t>
      </w:r>
      <w:r w:rsidR="00BA671C">
        <w:rPr>
          <w:color w:val="auto"/>
          <w:sz w:val="22"/>
          <w:szCs w:val="22"/>
        </w:rPr>
        <w:t xml:space="preserve"> </w:t>
      </w:r>
      <w:r w:rsidR="006A2CE6">
        <w:rPr>
          <w:color w:val="auto"/>
          <w:sz w:val="22"/>
          <w:szCs w:val="22"/>
        </w:rPr>
        <w:t>5</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2" w:name="_Toc428275525"/>
      <w:bookmarkStart w:id="93" w:name="_Toc428275526"/>
      <w:bookmarkStart w:id="94" w:name="_Toc428535205"/>
      <w:bookmarkEnd w:id="92"/>
      <w:bookmarkEnd w:id="93"/>
      <w:r w:rsidRPr="008D3EC8">
        <w:rPr>
          <w:rFonts w:ascii="Arial" w:hAnsi="Arial" w:cs="Arial"/>
          <w:b w:val="0"/>
          <w:i/>
          <w:color w:val="auto"/>
          <w:sz w:val="24"/>
          <w:szCs w:val="24"/>
        </w:rPr>
        <w:t>Dodatkowe wydatki kwalifikowalne w ramach działania 2.2</w:t>
      </w:r>
      <w:bookmarkEnd w:id="9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podrozdziale </w:t>
      </w:r>
      <w:r w:rsidR="0004784F">
        <w:rPr>
          <w:color w:val="auto"/>
          <w:sz w:val="22"/>
          <w:szCs w:val="22"/>
        </w:rPr>
        <w:t>6</w:t>
      </w:r>
      <w:r w:rsidRPr="00103D76">
        <w:rPr>
          <w:color w:val="auto"/>
          <w:sz w:val="22"/>
          <w:szCs w:val="22"/>
        </w:rPr>
        <w:t>.1</w:t>
      </w:r>
      <w:r w:rsidR="003B4005" w:rsidRPr="00103D76">
        <w:rPr>
          <w:color w:val="auto"/>
          <w:sz w:val="22"/>
          <w:szCs w:val="22"/>
        </w:rPr>
        <w:t>.1</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91631C"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91631C">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95" w:name="_Toc428535206"/>
      <w:r w:rsidRPr="008D3EC8">
        <w:rPr>
          <w:rFonts w:ascii="Arial" w:hAnsi="Arial" w:cs="Arial"/>
          <w:b w:val="0"/>
          <w:i/>
          <w:color w:val="auto"/>
          <w:sz w:val="24"/>
          <w:szCs w:val="24"/>
        </w:rPr>
        <w:t>Dodatkowe wydatki kwalifikowalne w ramach działania 2.3</w:t>
      </w:r>
      <w:bookmarkEnd w:id="9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podrozdziale </w:t>
      </w:r>
      <w:r w:rsidR="006A2CE6">
        <w:rPr>
          <w:color w:val="auto"/>
          <w:sz w:val="22"/>
          <w:szCs w:val="22"/>
        </w:rPr>
        <w:t>5</w:t>
      </w:r>
      <w:r w:rsidRPr="00103D76">
        <w:rPr>
          <w:color w:val="auto"/>
          <w:sz w:val="22"/>
          <w:szCs w:val="22"/>
        </w:rPr>
        <w:t>.1</w:t>
      </w:r>
      <w:r w:rsidR="008940CA" w:rsidRPr="00103D76">
        <w:rPr>
          <w:color w:val="auto"/>
          <w:sz w:val="22"/>
          <w:szCs w:val="22"/>
        </w:rPr>
        <w:t>.1</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91631C">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sidR="00B9162C">
        <w:rPr>
          <w:rFonts w:ascii="Arial" w:eastAsia="Calibri" w:hAnsi="Arial" w:cs="Arial"/>
        </w:rPr>
        <w:t>usługi związane z pokryciem kosztów wyjazdów terenowych</w:t>
      </w:r>
      <w:r w:rsidRPr="004E62D9">
        <w:rPr>
          <w:rFonts w:ascii="Arial" w:eastAsia="Calibri" w:hAnsi="Arial" w:cs="Arial"/>
        </w:rPr>
        <w:t>,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91631C">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B9162C"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koszty delegacji związanych</w:t>
      </w:r>
      <w:r w:rsidR="00CE7EFD">
        <w:rPr>
          <w:rFonts w:ascii="Arial" w:eastAsia="Calibri" w:hAnsi="Arial" w:cs="Arial"/>
        </w:rPr>
        <w:t xml:space="preserve"> </w:t>
      </w:r>
      <w:r>
        <w:rPr>
          <w:rFonts w:ascii="Arial" w:eastAsia="Calibri" w:hAnsi="Arial" w:cs="Arial"/>
        </w:rPr>
        <w:t xml:space="preserve">wyjazdami </w:t>
      </w:r>
      <w:r w:rsidR="00CE7EFD">
        <w:rPr>
          <w:rFonts w:ascii="Arial" w:eastAsia="Calibri" w:hAnsi="Arial" w:cs="Arial"/>
        </w:rPr>
        <w:t>terenowy</w:t>
      </w:r>
      <w:r>
        <w:rPr>
          <w:rFonts w:ascii="Arial" w:eastAsia="Calibri" w:hAnsi="Arial" w:cs="Arial"/>
        </w:rPr>
        <w:t>mi</w:t>
      </w:r>
      <w:r w:rsidR="00CE7EFD">
        <w:rPr>
          <w:rFonts w:ascii="Arial" w:eastAsia="Calibri" w:hAnsi="Arial" w:cs="Arial"/>
        </w:rPr>
        <w:t xml:space="preserve"> związanych z przeprowadzaniem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91631C">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D75851" w:rsidRPr="00981286" w:rsidRDefault="005F1561" w:rsidP="00981286">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Pr>
          <w:i/>
          <w:color w:val="auto"/>
          <w:sz w:val="22"/>
          <w:szCs w:val="22"/>
        </w:rPr>
        <w:t>szkolenia:</w:t>
      </w:r>
    </w:p>
    <w:p w:rsidR="00D75851" w:rsidRDefault="005F1561" w:rsidP="00981286">
      <w:pPr>
        <w:pStyle w:val="Default"/>
        <w:numPr>
          <w:ilvl w:val="2"/>
          <w:numId w:val="10"/>
        </w:numPr>
        <w:spacing w:before="120" w:after="120" w:line="360" w:lineRule="auto"/>
        <w:jc w:val="both"/>
        <w:rPr>
          <w:color w:val="auto"/>
          <w:sz w:val="22"/>
          <w:szCs w:val="22"/>
        </w:rPr>
      </w:pPr>
      <w:r>
        <w:rPr>
          <w:color w:val="auto"/>
          <w:sz w:val="22"/>
          <w:szCs w:val="22"/>
        </w:rPr>
        <w:t>Szkolenia dla grup docelowych korzystających z zasobów udostępnianych w ramach projektu.</w:t>
      </w:r>
    </w:p>
    <w:p w:rsidR="0035124D" w:rsidRPr="007E469E" w:rsidRDefault="0035124D" w:rsidP="00903FFD">
      <w:pPr>
        <w:pStyle w:val="Default"/>
        <w:spacing w:before="120" w:after="120" w:line="360" w:lineRule="auto"/>
        <w:ind w:left="708"/>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96" w:name="_Toc42853520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96"/>
      <w:proofErr w:type="spellEnd"/>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Pr="007E469E"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903FFD"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Limit wydatków ponoszonych w ramach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xml:space="preserve"> dla poszczególnych działań osi określony jest w SZ</w:t>
      </w:r>
      <w:r w:rsidR="00A7373A">
        <w:rPr>
          <w:rFonts w:ascii="Arial" w:eastAsia="MS Mincho" w:hAnsi="Arial" w:cs="Arial"/>
          <w:lang w:eastAsia="ja-JP"/>
        </w:rPr>
        <w:t>O</w:t>
      </w:r>
      <w:r w:rsidRPr="007E469E">
        <w:rPr>
          <w:rFonts w:ascii="Arial" w:eastAsia="MS Mincho" w:hAnsi="Arial" w:cs="Arial"/>
          <w:lang w:eastAsia="ja-JP"/>
        </w:rPr>
        <w:t xml:space="preserve">OP. </w:t>
      </w:r>
    </w:p>
    <w:p w:rsidR="0035124D" w:rsidRPr="007E469E" w:rsidRDefault="0035124D" w:rsidP="0035124D">
      <w:pPr>
        <w:spacing w:before="120" w:after="120" w:line="360" w:lineRule="auto"/>
        <w:ind w:left="403"/>
        <w:jc w:val="both"/>
        <w:rPr>
          <w:rFonts w:ascii="Arial" w:eastAsia="MS Mincho" w:hAnsi="Arial" w:cs="Arial"/>
          <w:lang w:eastAsia="ja-JP"/>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97" w:name="_Toc428535208"/>
      <w:r w:rsidRPr="007E469E">
        <w:rPr>
          <w:rFonts w:ascii="Arial" w:hAnsi="Arial" w:cs="Arial"/>
          <w:i/>
          <w:color w:val="auto"/>
          <w:sz w:val="24"/>
          <w:szCs w:val="24"/>
        </w:rPr>
        <w:t>Wykaz wydatków niekwalifikowalnych w ramach II osi priorytetowej</w:t>
      </w:r>
      <w:bookmarkEnd w:id="97"/>
      <w:r w:rsidRPr="007E469E">
        <w:rPr>
          <w:rFonts w:ascii="Arial" w:hAnsi="Arial" w:cs="Arial"/>
          <w:i/>
          <w:color w:val="auto"/>
          <w:sz w:val="24"/>
          <w:szCs w:val="24"/>
        </w:rPr>
        <w:t xml:space="preserve"> </w:t>
      </w:r>
    </w:p>
    <w:p w:rsidR="006854B8" w:rsidRPr="006854B8" w:rsidRDefault="006854B8" w:rsidP="006854B8">
      <w:pPr>
        <w:autoSpaceDE w:val="0"/>
        <w:autoSpaceDN w:val="0"/>
        <w:adjustRightInd w:val="0"/>
        <w:spacing w:before="120" w:after="120" w:line="360" w:lineRule="auto"/>
        <w:jc w:val="both"/>
        <w:rPr>
          <w:rFonts w:ascii="Arial" w:eastAsia="Calibri" w:hAnsi="Arial" w:cs="Arial"/>
        </w:rPr>
      </w:pPr>
      <w:r>
        <w:rPr>
          <w:rFonts w:ascii="Arial" w:eastAsia="Calibri" w:hAnsi="Arial" w:cs="Arial"/>
        </w:rPr>
        <w:t>D</w:t>
      </w:r>
      <w:r w:rsidRPr="006854B8">
        <w:rPr>
          <w:rFonts w:ascii="Arial" w:eastAsia="Calibri" w:hAnsi="Arial" w:cs="Arial"/>
        </w:rPr>
        <w:t>o dofinansowania w ramach II osi priorytetowej POPC nie kwalifikują się:</w:t>
      </w:r>
    </w:p>
    <w:p w:rsidR="00BB27C9"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P</w:t>
      </w:r>
      <w:r w:rsidRPr="006854B8">
        <w:rPr>
          <w:rFonts w:ascii="Arial" w:eastAsia="MS Mincho" w:hAnsi="Arial" w:cs="Arial"/>
          <w:lang w:eastAsia="ja-JP"/>
        </w:rPr>
        <w:t>remie i nagrody wypłacone w związku z zaangażowaniem personelu projektu do zadań realizowanych po upływie 36 miesięcy od daty podpi</w:t>
      </w:r>
      <w:r w:rsidR="007A31CD">
        <w:rPr>
          <w:rFonts w:ascii="Arial" w:eastAsia="MS Mincho" w:hAnsi="Arial" w:cs="Arial"/>
          <w:lang w:eastAsia="ja-JP"/>
        </w:rPr>
        <w:t>sania umowy o dofinansowanie.</w:t>
      </w:r>
    </w:p>
    <w:p w:rsidR="00E241C6"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 </w:t>
      </w:r>
      <w:r w:rsidR="006854B8" w:rsidRPr="006854B8">
        <w:rPr>
          <w:rFonts w:ascii="Arial" w:eastAsia="MS Mincho" w:hAnsi="Arial" w:cs="Arial"/>
          <w:lang w:eastAsia="ja-JP"/>
        </w:rPr>
        <w:t xml:space="preserve"> ponoszonych w ramach ka</w:t>
      </w:r>
      <w:r w:rsidR="00BB27C9">
        <w:rPr>
          <w:rFonts w:ascii="Arial" w:eastAsia="MS Mincho" w:hAnsi="Arial" w:cs="Arial"/>
          <w:lang w:eastAsia="ja-JP"/>
        </w:rPr>
        <w:t xml:space="preserve">tegorii </w:t>
      </w:r>
      <w:r w:rsidR="006854B8" w:rsidRPr="00BB27C9">
        <w:rPr>
          <w:rFonts w:ascii="Arial" w:eastAsia="MS Mincho" w:hAnsi="Arial" w:cs="Arial"/>
          <w:i/>
          <w:lang w:eastAsia="ja-JP"/>
        </w:rPr>
        <w:t>informacja i promocja</w:t>
      </w:r>
      <w:r w:rsidR="00BB27C9">
        <w:rPr>
          <w:rFonts w:ascii="Arial" w:eastAsia="MS Mincho" w:hAnsi="Arial" w:cs="Arial"/>
          <w:lang w:eastAsia="ja-JP"/>
        </w:rPr>
        <w:t xml:space="preserve"> oraz </w:t>
      </w:r>
      <w:r w:rsidR="006854B8" w:rsidRPr="00BB27C9">
        <w:rPr>
          <w:rFonts w:ascii="Arial" w:eastAsia="MS Mincho" w:hAnsi="Arial" w:cs="Arial"/>
          <w:i/>
          <w:lang w:eastAsia="ja-JP"/>
        </w:rPr>
        <w:t>szkolenia</w:t>
      </w:r>
      <w:r>
        <w:rPr>
          <w:rFonts w:ascii="Arial" w:eastAsia="MS Mincho" w:hAnsi="Arial" w:cs="Arial"/>
          <w:i/>
          <w:lang w:eastAsia="ja-JP"/>
        </w:rPr>
        <w:t>,</w:t>
      </w:r>
    </w:p>
    <w:p w:rsidR="00E241C6" w:rsidRPr="006854B8" w:rsidRDefault="00E241C6" w:rsidP="0091631C">
      <w:pPr>
        <w:spacing w:before="120" w:after="120" w:line="360" w:lineRule="auto"/>
        <w:ind w:left="284"/>
        <w:jc w:val="both"/>
        <w:rPr>
          <w:rFonts w:ascii="Arial" w:eastAsia="MS Mincho" w:hAnsi="Arial" w:cs="Arial"/>
          <w:lang w:eastAsia="ja-JP"/>
        </w:rPr>
      </w:pPr>
      <w:r>
        <w:rPr>
          <w:rFonts w:ascii="Arial" w:eastAsia="MS Mincho" w:hAnsi="Arial" w:cs="Arial"/>
          <w:lang w:eastAsia="ja-JP"/>
        </w:rPr>
        <w:t>- sprzętu informatycznego bez względu na sposób ujęcia go w księgach rachunkowych.</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103D76" w:rsidRDefault="008E14C5" w:rsidP="000C13DB">
      <w:pPr>
        <w:pStyle w:val="Akapitzlist"/>
        <w:numPr>
          <w:ilvl w:val="1"/>
          <w:numId w:val="46"/>
        </w:numPr>
        <w:spacing w:after="0" w:line="360" w:lineRule="auto"/>
        <w:jc w:val="both"/>
        <w:rPr>
          <w:rFonts w:ascii="Arial" w:hAnsi="Arial" w:cs="Arial"/>
        </w:rPr>
      </w:pPr>
      <w:r>
        <w:rPr>
          <w:rFonts w:ascii="Arial" w:hAnsi="Arial" w:cs="Arial"/>
        </w:rPr>
        <w:t xml:space="preserve">wydatki poniesione na pokrycie </w:t>
      </w:r>
      <w:r w:rsidR="006854B8" w:rsidRPr="00103D76">
        <w:rPr>
          <w:rFonts w:ascii="Arial" w:hAnsi="Arial" w:cs="Arial"/>
        </w:rPr>
        <w:t>koszt</w:t>
      </w:r>
      <w:r>
        <w:rPr>
          <w:rFonts w:ascii="Arial" w:hAnsi="Arial" w:cs="Arial"/>
        </w:rPr>
        <w:t>ów</w:t>
      </w:r>
      <w:r w:rsidR="006854B8" w:rsidRPr="00103D76">
        <w:rPr>
          <w:rFonts w:ascii="Arial" w:hAnsi="Arial" w:cs="Arial"/>
        </w:rPr>
        <w:t xml:space="preserve"> zakupu nieruchomości/gruntu,</w:t>
      </w:r>
    </w:p>
    <w:p w:rsidR="006854B8" w:rsidRPr="00103D76" w:rsidRDefault="006854B8" w:rsidP="000C13DB">
      <w:pPr>
        <w:pStyle w:val="Akapitzlist"/>
        <w:numPr>
          <w:ilvl w:val="1"/>
          <w:numId w:val="46"/>
        </w:numPr>
        <w:spacing w:after="0" w:line="360" w:lineRule="auto"/>
        <w:ind w:hanging="357"/>
        <w:jc w:val="both"/>
        <w:rPr>
          <w:rFonts w:ascii="Arial" w:hAnsi="Arial" w:cs="Arial"/>
        </w:rPr>
      </w:pPr>
      <w:r w:rsidRPr="00103D76">
        <w:rPr>
          <w:rFonts w:ascii="Arial" w:hAnsi="Arial" w:cs="Arial"/>
        </w:rPr>
        <w:t xml:space="preserve">wydatki na rzecz wykupu praw autorskich do </w:t>
      </w:r>
      <w:proofErr w:type="spellStart"/>
      <w:r w:rsidRPr="00103D76">
        <w:rPr>
          <w:rFonts w:ascii="Arial" w:hAnsi="Arial" w:cs="Arial"/>
        </w:rPr>
        <w:t>digitalizowanych</w:t>
      </w:r>
      <w:proofErr w:type="spellEnd"/>
      <w:r w:rsidRPr="00103D76">
        <w:rPr>
          <w:rFonts w:ascii="Arial" w:hAnsi="Arial" w:cs="Arial"/>
        </w:rPr>
        <w:t>/udostępnianych zasobów.</w:t>
      </w:r>
    </w:p>
    <w:p w:rsidR="006854B8"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C31104"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zakupu nieruchomości/gruntu,</w:t>
      </w:r>
    </w:p>
    <w:p w:rsidR="00944E2A"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robót budowlanych.  </w:t>
      </w:r>
    </w:p>
    <w:p w:rsidR="00944E2A" w:rsidRDefault="00944E2A">
      <w:pPr>
        <w:rPr>
          <w:rFonts w:ascii="Arial" w:hAnsi="Arial" w:cs="Arial"/>
        </w:rPr>
      </w:pPr>
      <w:r>
        <w:rPr>
          <w:rFonts w:ascii="Arial" w:hAnsi="Arial" w:cs="Arial"/>
        </w:rPr>
        <w:br w:type="page"/>
      </w:r>
    </w:p>
    <w:p w:rsidR="00903FFD" w:rsidRPr="00C20740" w:rsidRDefault="00903FFD" w:rsidP="00A7227A">
      <w:pPr>
        <w:autoSpaceDE w:val="0"/>
        <w:autoSpaceDN w:val="0"/>
        <w:adjustRightInd w:val="0"/>
        <w:spacing w:before="120" w:after="120" w:line="360" w:lineRule="auto"/>
        <w:jc w:val="both"/>
        <w:rPr>
          <w:rFonts w:ascii="Arial" w:eastAsia="Times New Roman" w:hAnsi="Arial" w:cs="Times New Roman"/>
          <w:b/>
          <w:bCs/>
          <w:sz w:val="24"/>
          <w:szCs w:val="24"/>
          <w:lang w:eastAsia="pl-PL"/>
        </w:rPr>
      </w:pPr>
      <w:r w:rsidRPr="007E469E">
        <w:rPr>
          <w:rFonts w:ascii="Arial" w:eastAsia="Times New Roman" w:hAnsi="Arial" w:cs="Times New Roman"/>
          <w:b/>
          <w:bCs/>
          <w:sz w:val="24"/>
          <w:szCs w:val="20"/>
          <w:lang w:eastAsia="pl-PL"/>
        </w:rPr>
        <w:t xml:space="preserve">Załącznik </w:t>
      </w:r>
      <w:r w:rsidR="00C46873" w:rsidRPr="007E469E">
        <w:rPr>
          <w:rFonts w:ascii="Arial" w:eastAsia="Times New Roman" w:hAnsi="Arial" w:cs="Times New Roman"/>
          <w:b/>
          <w:bCs/>
          <w:sz w:val="24"/>
          <w:szCs w:val="20"/>
          <w:lang w:eastAsia="pl-PL"/>
        </w:rPr>
        <w:t xml:space="preserve">nr </w:t>
      </w:r>
      <w:r w:rsidRPr="007E469E">
        <w:rPr>
          <w:rFonts w:ascii="Arial" w:eastAsia="Times New Roman" w:hAnsi="Arial" w:cs="Times New Roman"/>
          <w:b/>
          <w:bCs/>
          <w:sz w:val="24"/>
          <w:szCs w:val="20"/>
          <w:lang w:eastAsia="pl-PL"/>
        </w:rPr>
        <w:t xml:space="preserve">1 - </w:t>
      </w:r>
      <w:r w:rsidR="009867E6">
        <w:rPr>
          <w:rFonts w:ascii="Arial" w:eastAsia="Times New Roman" w:hAnsi="Arial" w:cs="Times New Roman"/>
          <w:b/>
          <w:bCs/>
          <w:sz w:val="24"/>
          <w:szCs w:val="20"/>
          <w:lang w:eastAsia="pl-PL"/>
        </w:rPr>
        <w:t>R</w:t>
      </w:r>
      <w:r w:rsidRPr="007E469E">
        <w:rPr>
          <w:rFonts w:ascii="Arial" w:eastAsia="Times New Roman" w:hAnsi="Arial" w:cs="Times New Roman"/>
          <w:b/>
          <w:bCs/>
          <w:sz w:val="24"/>
          <w:szCs w:val="20"/>
          <w:lang w:eastAsia="pl-PL"/>
        </w:rPr>
        <w:t xml:space="preserve">ekomendacje dotyczące zamówień </w:t>
      </w:r>
      <w:r w:rsidR="009867E6">
        <w:rPr>
          <w:rFonts w:ascii="Arial" w:eastAsia="Times New Roman" w:hAnsi="Arial" w:cs="Times New Roman"/>
          <w:b/>
          <w:bCs/>
          <w:sz w:val="24"/>
          <w:szCs w:val="20"/>
          <w:lang w:eastAsia="pl-PL"/>
        </w:rPr>
        <w:t>publicznych</w:t>
      </w:r>
      <w:r w:rsidR="00482633" w:rsidRPr="00482633">
        <w:rPr>
          <w:rFonts w:ascii="Arial" w:eastAsia="Times New Roman" w:hAnsi="Arial" w:cs="Times New Roman"/>
          <w:b/>
          <w:bCs/>
          <w:sz w:val="24"/>
          <w:szCs w:val="24"/>
          <w:lang w:eastAsia="pl-PL"/>
        </w:rPr>
        <w:t xml:space="preserve"> </w:t>
      </w:r>
      <w:r w:rsidR="00482633" w:rsidRPr="00C20740">
        <w:rPr>
          <w:rFonts w:ascii="Arial" w:eastAsia="Times New Roman" w:hAnsi="Arial" w:cs="Times New Roman"/>
          <w:b/>
          <w:bCs/>
          <w:sz w:val="24"/>
          <w:szCs w:val="24"/>
          <w:lang w:eastAsia="pl-PL"/>
        </w:rPr>
        <w:t>na dostawy, usługi i roboty budowlane</w:t>
      </w:r>
      <w:r w:rsidR="00C20740">
        <w:rPr>
          <w:rFonts w:ascii="Arial" w:eastAsia="Times New Roman" w:hAnsi="Arial" w:cs="Times New Roman"/>
          <w:b/>
          <w:bCs/>
          <w:sz w:val="24"/>
          <w:szCs w:val="20"/>
          <w:lang w:eastAsia="pl-PL"/>
        </w:rPr>
        <w:t xml:space="preserve">, </w:t>
      </w:r>
      <w:r w:rsidR="00C20740" w:rsidRPr="006F60C5">
        <w:rPr>
          <w:rFonts w:ascii="Arial" w:eastAsia="MS Mincho" w:hAnsi="Arial" w:cs="Arial"/>
          <w:b/>
          <w:sz w:val="24"/>
          <w:szCs w:val="24"/>
          <w:lang w:eastAsia="ja-JP"/>
        </w:rPr>
        <w:t xml:space="preserve">realizowanych zgodnie z ustawą </w:t>
      </w:r>
      <w:proofErr w:type="spellStart"/>
      <w:r w:rsidR="00C20740" w:rsidRPr="006F60C5">
        <w:rPr>
          <w:rFonts w:ascii="Arial" w:eastAsia="MS Mincho" w:hAnsi="Arial" w:cs="Arial"/>
          <w:b/>
          <w:sz w:val="24"/>
          <w:szCs w:val="24"/>
          <w:lang w:eastAsia="ja-JP"/>
        </w:rPr>
        <w:t>Pzp</w:t>
      </w:r>
      <w:proofErr w:type="spellEnd"/>
      <w:r w:rsidR="00C20740" w:rsidRPr="006F60C5">
        <w:rPr>
          <w:rFonts w:ascii="Arial" w:eastAsia="MS Mincho" w:hAnsi="Arial" w:cs="Arial"/>
          <w:sz w:val="24"/>
          <w:szCs w:val="24"/>
          <w:lang w:eastAsia="ja-JP"/>
        </w:rPr>
        <w:t>,</w:t>
      </w:r>
    </w:p>
    <w:p w:rsidR="00903FFD" w:rsidRPr="007E469E" w:rsidRDefault="00903FFD" w:rsidP="00903FFD">
      <w:pPr>
        <w:autoSpaceDE w:val="0"/>
        <w:autoSpaceDN w:val="0"/>
        <w:adjustRightInd w:val="0"/>
        <w:spacing w:after="0" w:line="360" w:lineRule="auto"/>
        <w:jc w:val="both"/>
        <w:rPr>
          <w:rFonts w:ascii="Arial" w:hAnsi="Arial" w:cs="Arial"/>
        </w:rPr>
      </w:pPr>
    </w:p>
    <w:p w:rsidR="00A12E38"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Każde zamówienie publiczne, </w:t>
      </w:r>
      <w:r w:rsidR="00F40AD0">
        <w:rPr>
          <w:rFonts w:ascii="Arial" w:hAnsi="Arial" w:cs="Arial"/>
        </w:rPr>
        <w:t xml:space="preserve">udzielane zgodnie z ustawą </w:t>
      </w:r>
      <w:proofErr w:type="spellStart"/>
      <w:r w:rsidR="00F40AD0">
        <w:rPr>
          <w:rFonts w:ascii="Arial" w:hAnsi="Arial" w:cs="Arial"/>
        </w:rPr>
        <w:t>Pzp</w:t>
      </w:r>
      <w:proofErr w:type="spellEnd"/>
      <w:r w:rsidR="00F40AD0">
        <w:rPr>
          <w:rFonts w:ascii="Arial" w:hAnsi="Arial" w:cs="Arial"/>
        </w:rPr>
        <w:t xml:space="preserve">, </w:t>
      </w:r>
      <w:r w:rsidRPr="007E469E">
        <w:rPr>
          <w:rFonts w:ascii="Arial" w:hAnsi="Arial" w:cs="Arial"/>
        </w:rPr>
        <w:t xml:space="preserve">w myśl </w:t>
      </w:r>
      <w:r w:rsidRPr="007E469E">
        <w:rPr>
          <w:rFonts w:ascii="Arial" w:eastAsia="Times New Roman" w:hAnsi="Arial" w:cs="Arial"/>
          <w:lang w:eastAsia="pl-PL"/>
        </w:rPr>
        <w:t xml:space="preserve">realizacji zasad wyrażonych w art. 7 ust. 1 oraz ust. 2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tj. zasady przejrzystości, uczciwej konkurencji, niedyskryminacji i równego traktowania,</w:t>
      </w:r>
      <w:r w:rsidRPr="007E469E">
        <w:rPr>
          <w:rFonts w:ascii="Arial" w:hAnsi="Arial" w:cs="Arial"/>
        </w:rPr>
        <w:t xml:space="preserve"> powinno być konkurencyjne w możliwie najszerszym zakresie. </w:t>
      </w:r>
    </w:p>
    <w:p w:rsidR="006A566B" w:rsidRPr="007E469E" w:rsidRDefault="006A566B" w:rsidP="00903FFD">
      <w:pPr>
        <w:autoSpaceDE w:val="0"/>
        <w:autoSpaceDN w:val="0"/>
        <w:adjustRightInd w:val="0"/>
        <w:spacing w:after="0" w:line="360" w:lineRule="auto"/>
        <w:jc w:val="both"/>
        <w:rPr>
          <w:rFonts w:ascii="Arial" w:hAnsi="Arial" w:cs="Arial"/>
        </w:rPr>
      </w:pPr>
    </w:p>
    <w:p w:rsidR="00903FFD" w:rsidRPr="007E469E"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Przedmiotowemu kształtowaniu procesu udzielania </w:t>
      </w:r>
      <w:r w:rsidR="00A12E38" w:rsidRPr="007E469E">
        <w:rPr>
          <w:rFonts w:ascii="Arial" w:hAnsi="Arial" w:cs="Arial"/>
        </w:rPr>
        <w:t xml:space="preserve">zamówień </w:t>
      </w:r>
      <w:r w:rsidR="00F40AD0">
        <w:rPr>
          <w:rFonts w:ascii="Arial" w:hAnsi="Arial" w:cs="Arial"/>
        </w:rPr>
        <w:t xml:space="preserve">publicznych </w:t>
      </w:r>
      <w:r w:rsidR="00A12E38" w:rsidRPr="007E469E">
        <w:rPr>
          <w:rFonts w:ascii="Arial" w:hAnsi="Arial" w:cs="Arial"/>
        </w:rPr>
        <w:t xml:space="preserve">udzielanych w projektach realizowanych w ramach POPC </w:t>
      </w:r>
      <w:r w:rsidRPr="007E469E">
        <w:rPr>
          <w:rFonts w:ascii="Arial" w:hAnsi="Arial" w:cs="Arial"/>
        </w:rPr>
        <w:t xml:space="preserve">mają służyć m.in. poniższe zalecenia i rekomendacje: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trakcie przeprowadzania postępowania o udzielenie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powinno stosować się procedury wewnętrzne dotyczące udzielania zamówień publicznych</w:t>
      </w:r>
      <w:r w:rsidR="00741C01">
        <w:rPr>
          <w:rFonts w:ascii="Arial" w:eastAsia="Times New Roman" w:hAnsi="Arial" w:cs="Times New Roman"/>
          <w:szCs w:val="24"/>
          <w:lang w:eastAsia="pl-PL"/>
        </w:rPr>
        <w:t xml:space="preserve">, udzielanych zgodnie z ustawą </w:t>
      </w:r>
      <w:proofErr w:type="spellStart"/>
      <w:r w:rsidR="00741C01">
        <w:rPr>
          <w:rFonts w:ascii="Arial" w:eastAsia="Times New Roman" w:hAnsi="Arial" w:cs="Times New Roman"/>
          <w:szCs w:val="24"/>
          <w:lang w:eastAsia="pl-PL"/>
        </w:rPr>
        <w:t>Pzp</w:t>
      </w:r>
      <w:proofErr w:type="spellEnd"/>
      <w:r w:rsidR="00741C01">
        <w:rPr>
          <w:rStyle w:val="Odwoanieprzypisudolnego"/>
          <w:rFonts w:ascii="Arial" w:eastAsia="Times New Roman" w:hAnsi="Arial" w:cs="Times New Roman"/>
          <w:szCs w:val="24"/>
          <w:lang w:eastAsia="pl-PL"/>
        </w:rPr>
        <w:t xml:space="preserve"> </w:t>
      </w:r>
      <w:r w:rsidR="00192F06">
        <w:rPr>
          <w:rStyle w:val="Odwoanieprzypisudolnego"/>
          <w:rFonts w:ascii="Arial" w:eastAsia="Times New Roman" w:hAnsi="Arial" w:cs="Times New Roman"/>
          <w:szCs w:val="24"/>
          <w:lang w:eastAsia="pl-PL"/>
        </w:rPr>
        <w:footnoteReference w:id="20"/>
      </w:r>
      <w:r w:rsidR="00061EF4">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opracowane w postaci np. instrukcji wewnętrznych, regulaminów. Procedury te uwzględniają wszystkie etapy związane z udzielaniem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tj. przygotowania postępowania, przeprowadzenia postępowania, realizacji umowy zawartej z wykonawcą wraz ze wskazaniem poszczególnych czynności oraz stanowisk odpowiedzialnych za ich realizację. Wszystkie czynności wykonują osoby zapewniające bezstronność i obiektywizm.</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odniesieniu do najbardziej ryzykownych postępowań</w:t>
      </w:r>
      <w:r w:rsidRPr="007E469E">
        <w:rPr>
          <w:rFonts w:ascii="Arial" w:eastAsia="Times New Roman" w:hAnsi="Arial" w:cs="Times New Roman"/>
          <w:szCs w:val="24"/>
          <w:vertAlign w:val="superscript"/>
          <w:lang w:eastAsia="pl-PL"/>
        </w:rPr>
        <w:footnoteReference w:id="21"/>
      </w:r>
      <w:r w:rsidRPr="007E469E">
        <w:rPr>
          <w:rFonts w:ascii="Arial" w:eastAsia="Times New Roman" w:hAnsi="Arial" w:cs="Times New Roman"/>
          <w:szCs w:val="24"/>
          <w:lang w:eastAsia="pl-PL"/>
        </w:rPr>
        <w:t xml:space="preserve">, </w:t>
      </w:r>
      <w:r w:rsidRPr="00C9324B">
        <w:rPr>
          <w:rFonts w:ascii="Arial" w:eastAsia="Times New Roman" w:hAnsi="Arial" w:cs="Times New Roman"/>
          <w:szCs w:val="24"/>
          <w:lang w:eastAsia="pl-PL"/>
        </w:rPr>
        <w:t>jak również w przypadku centralnych zakupów</w:t>
      </w:r>
      <w:r w:rsidRPr="00C9324B">
        <w:rPr>
          <w:rFonts w:ascii="Arial" w:eastAsia="Times New Roman" w:hAnsi="Arial" w:cs="Times New Roman"/>
          <w:szCs w:val="24"/>
          <w:vertAlign w:val="superscript"/>
          <w:lang w:eastAsia="pl-PL"/>
        </w:rPr>
        <w:footnoteReference w:id="22"/>
      </w:r>
      <w:r w:rsidRPr="00C9324B">
        <w:rPr>
          <w:rFonts w:ascii="Arial" w:eastAsia="Times New Roman" w:hAnsi="Arial" w:cs="Times New Roman"/>
          <w:szCs w:val="24"/>
          <w:lang w:eastAsia="pl-PL"/>
        </w:rPr>
        <w:t>, zaleca się opracowanie, szczegółow</w:t>
      </w:r>
      <w:r w:rsidRPr="007E469E">
        <w:rPr>
          <w:rFonts w:ascii="Arial" w:eastAsia="Times New Roman" w:hAnsi="Arial" w:cs="Times New Roman"/>
          <w:szCs w:val="24"/>
          <w:lang w:eastAsia="pl-PL"/>
        </w:rPr>
        <w:t>ego planu prac, którego celem jest prawidłowa i sprawna realizacja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Plan prac powinien zostać opracowany w początkowym stadium realizacji projektu przed przeprowadzeniem postępowań i powinien zawierać terminy dla każdego etapu, tj.:</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przygotowanie dokumentacji dotyczącej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w tym opracowanie opisu przedmiotu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wszczęcie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przeprowadzenie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zawarcie umowy,</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realizacja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C9324B">
        <w:rPr>
          <w:rFonts w:ascii="Arial" w:eastAsia="Times New Roman" w:hAnsi="Arial" w:cs="Arial"/>
          <w:lang w:eastAsia="pl-PL"/>
        </w:rPr>
        <w:t>ewentualne zmiany do zawartej umowy (aneksy), odbiór</w:t>
      </w:r>
      <w:r w:rsidRPr="007E469E">
        <w:rPr>
          <w:rFonts w:ascii="Arial" w:eastAsia="Times New Roman" w:hAnsi="Arial" w:cs="Arial"/>
          <w:lang w:eastAsia="pl-PL"/>
        </w:rPr>
        <w:t xml:space="preserve">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udokumentowany protokołami odbioru,</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weryfikacja faktur wystawionych przez wykonawcę.</w:t>
      </w:r>
    </w:p>
    <w:p w:rsidR="00903FFD" w:rsidRPr="007E469E" w:rsidRDefault="00903FFD" w:rsidP="00903FFD">
      <w:pPr>
        <w:spacing w:after="0" w:line="360" w:lineRule="auto"/>
        <w:ind w:left="360"/>
        <w:jc w:val="both"/>
        <w:rPr>
          <w:rFonts w:ascii="Arial" w:eastAsia="Times New Roman" w:hAnsi="Arial" w:cs="Arial"/>
          <w:lang w:eastAsia="pl-PL"/>
        </w:rPr>
      </w:pPr>
      <w:r w:rsidRPr="007E469E">
        <w:rPr>
          <w:rFonts w:ascii="Arial" w:eastAsia="Times New Roman" w:hAnsi="Arial" w:cs="Arial"/>
          <w:lang w:eastAsia="pl-PL"/>
        </w:rPr>
        <w:t>Minimalny wymagany zakres planu prac powinien zawierać informacje o procedurze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terminie rozpoczęcia i zakończenia każdego etapu/zadania wraz ze wskazaniem osób odpowiedzialnych za wykonanie danego zadania. W celu zapewnienia ścieżki audytu powinno archiwizować się plan prac </w:t>
      </w:r>
      <w:r w:rsidR="002E1205">
        <w:rPr>
          <w:rFonts w:ascii="Arial" w:eastAsia="Times New Roman" w:hAnsi="Arial" w:cs="Arial"/>
          <w:lang w:eastAsia="pl-PL"/>
        </w:rPr>
        <w:t xml:space="preserve">powinien być archiwizowany </w:t>
      </w:r>
      <w:r w:rsidRPr="007E469E">
        <w:rPr>
          <w:rFonts w:ascii="Arial" w:eastAsia="Times New Roman" w:hAnsi="Arial" w:cs="Arial"/>
          <w:lang w:eastAsia="pl-PL"/>
        </w:rPr>
        <w:t>wraz z dokumentacją projektu.</w:t>
      </w:r>
    </w:p>
    <w:p w:rsidR="00903FFD" w:rsidRPr="002E1205"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W celu uniknięcia stosowania przepisów ustawy </w:t>
      </w:r>
      <w:proofErr w:type="spellStart"/>
      <w:r w:rsidR="00707D92" w:rsidRPr="007E469E">
        <w:rPr>
          <w:rFonts w:ascii="Arial" w:eastAsia="Times New Roman" w:hAnsi="Arial" w:cs="Arial"/>
          <w:lang w:eastAsia="pl-PL"/>
        </w:rPr>
        <w:t>Pzp</w:t>
      </w:r>
      <w:proofErr w:type="spellEnd"/>
      <w:r w:rsidR="00707D92" w:rsidRPr="007E469E">
        <w:rPr>
          <w:rFonts w:ascii="Arial" w:eastAsia="Times New Roman" w:hAnsi="Arial" w:cs="Arial"/>
          <w:lang w:eastAsia="pl-PL"/>
        </w:rPr>
        <w:t xml:space="preserve"> </w:t>
      </w:r>
      <w:r w:rsidRPr="007E469E">
        <w:rPr>
          <w:rFonts w:ascii="Arial" w:eastAsia="Times New Roman" w:hAnsi="Arial" w:cs="Arial"/>
          <w:lang w:eastAsia="pl-PL"/>
        </w:rPr>
        <w:t xml:space="preserve">nie można dzielić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lub zaniżać jego wartości (art. 32 ust. 2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Nie można zatem dokonywać podziału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(zaniżać jego wartości) w taki sposób, aby na skutek ustalenia wartości dla każdej z wydzielonych części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doszło do nieuprawnionego wyłączenia stosowania przepisów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powyżej określonego progu, czy też, z drugiej strony, do nieuprawnionego zastosowania przepisów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poniżej określonego progu. Innymi słowy nie jest zakazany sam podział jednego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ale jest zakazany taki podział, który zmierza do uniknięcia stosowania przez zamawiającego przepisów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właściwych dla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o określonej wartości szacunkowej</w:t>
      </w:r>
      <w:r w:rsidRPr="007E469E">
        <w:rPr>
          <w:rStyle w:val="Odwoanieprzypisudolnego"/>
          <w:rFonts w:ascii="Arial" w:eastAsia="Times New Roman" w:hAnsi="Arial" w:cs="Arial"/>
          <w:lang w:eastAsia="pl-PL"/>
        </w:rPr>
        <w:footnoteReference w:id="23"/>
      </w:r>
      <w:r w:rsidRPr="007E469E">
        <w:rPr>
          <w:rFonts w:ascii="Arial" w:eastAsia="Times New Roman" w:hAnsi="Arial" w:cs="Arial"/>
          <w:lang w:eastAsia="pl-PL"/>
        </w:rPr>
        <w:t>.</w:t>
      </w:r>
    </w:p>
    <w:p w:rsidR="00761D8B" w:rsidRPr="002E1205" w:rsidRDefault="00761D8B" w:rsidP="00761D8B">
      <w:pPr>
        <w:numPr>
          <w:ilvl w:val="0"/>
          <w:numId w:val="11"/>
        </w:numPr>
        <w:spacing w:after="0" w:line="360" w:lineRule="auto"/>
        <w:jc w:val="both"/>
        <w:outlineLvl w:val="5"/>
        <w:rPr>
          <w:rFonts w:ascii="Arial" w:eastAsia="Times New Roman" w:hAnsi="Arial" w:cs="Times New Roman"/>
          <w:szCs w:val="24"/>
          <w:lang w:eastAsia="pl-PL"/>
        </w:rPr>
      </w:pPr>
      <w:r w:rsidRPr="00EF558F">
        <w:rPr>
          <w:rFonts w:ascii="Arial" w:eastAsia="Times New Roman" w:hAnsi="Arial" w:cs="Times New Roman"/>
          <w:szCs w:val="24"/>
          <w:lang w:eastAsia="pl-PL"/>
        </w:rPr>
        <w:t xml:space="preserve">W przypadku, gdy z przyczyn organizacyjnych lub technicznych zamówienie zostanie podzielone </w:t>
      </w:r>
      <w:r w:rsidR="006A2CE6">
        <w:rPr>
          <w:rFonts w:ascii="Arial" w:eastAsia="Times New Roman" w:hAnsi="Arial" w:cs="Times New Roman"/>
          <w:szCs w:val="24"/>
          <w:lang w:eastAsia="pl-PL"/>
        </w:rPr>
        <w:t xml:space="preserve">na części, do każdej z tych części  </w:t>
      </w:r>
      <w:r w:rsidRPr="00EF558F">
        <w:rPr>
          <w:rFonts w:ascii="Arial" w:eastAsia="Times New Roman" w:hAnsi="Arial" w:cs="Times New Roman"/>
          <w:szCs w:val="24"/>
          <w:lang w:eastAsia="pl-PL"/>
        </w:rPr>
        <w:t xml:space="preserve">należy zastosować </w:t>
      </w:r>
      <w:r w:rsidR="006A2CE6">
        <w:rPr>
          <w:rFonts w:ascii="Arial" w:eastAsia="Times New Roman" w:hAnsi="Arial" w:cs="Times New Roman"/>
          <w:szCs w:val="24"/>
          <w:lang w:eastAsia="pl-PL"/>
        </w:rPr>
        <w:t xml:space="preserve">taki </w:t>
      </w:r>
      <w:r w:rsidRPr="00EF558F">
        <w:rPr>
          <w:rFonts w:ascii="Arial" w:eastAsia="Times New Roman" w:hAnsi="Arial" w:cs="Times New Roman"/>
          <w:szCs w:val="24"/>
          <w:lang w:eastAsia="pl-PL"/>
        </w:rPr>
        <w:t xml:space="preserve">tryb </w:t>
      </w:r>
      <w:r w:rsidR="006A2CE6">
        <w:rPr>
          <w:rFonts w:ascii="Arial" w:eastAsia="Times New Roman" w:hAnsi="Arial" w:cs="Times New Roman"/>
          <w:szCs w:val="24"/>
          <w:lang w:eastAsia="pl-PL"/>
        </w:rPr>
        <w:t xml:space="preserve">udzielania zamówienia, </w:t>
      </w:r>
      <w:r w:rsidRPr="00EF558F">
        <w:rPr>
          <w:rFonts w:ascii="Arial" w:eastAsia="Times New Roman" w:hAnsi="Arial" w:cs="Times New Roman"/>
          <w:szCs w:val="24"/>
          <w:lang w:eastAsia="pl-PL"/>
        </w:rPr>
        <w:t xml:space="preserve">jaki powinien być zastosowany dla </w:t>
      </w:r>
      <w:r w:rsidR="006A2CE6">
        <w:rPr>
          <w:rFonts w:ascii="Arial" w:eastAsia="Times New Roman" w:hAnsi="Arial" w:cs="Times New Roman"/>
          <w:szCs w:val="24"/>
          <w:lang w:eastAsia="pl-PL"/>
        </w:rPr>
        <w:t>całego</w:t>
      </w:r>
      <w:r w:rsidRPr="00EF558F">
        <w:rPr>
          <w:rFonts w:ascii="Arial" w:eastAsia="Times New Roman" w:hAnsi="Arial" w:cs="Times New Roman"/>
          <w:szCs w:val="24"/>
          <w:lang w:eastAsia="pl-PL"/>
        </w:rPr>
        <w:t xml:space="preserve"> zamówie</w:t>
      </w:r>
      <w:r w:rsidR="006A2CE6">
        <w:rPr>
          <w:rFonts w:ascii="Arial" w:eastAsia="Times New Roman" w:hAnsi="Arial" w:cs="Times New Roman"/>
          <w:szCs w:val="24"/>
          <w:lang w:eastAsia="pl-PL"/>
        </w:rPr>
        <w:t>nia</w:t>
      </w:r>
      <w:r w:rsidRPr="00EF558F">
        <w:rPr>
          <w:rFonts w:ascii="Arial" w:eastAsia="Times New Roman" w:hAnsi="Arial" w:cs="Times New Roman"/>
          <w:szCs w:val="24"/>
          <w:lang w:eastAsia="pl-PL"/>
        </w:rPr>
        <w:t xml:space="preserve">, jeśli </w:t>
      </w:r>
      <w:r w:rsidR="00B32C1E" w:rsidRPr="00EF558F">
        <w:rPr>
          <w:rFonts w:ascii="Arial" w:eastAsia="Times New Roman" w:hAnsi="Arial" w:cs="Times New Roman"/>
          <w:szCs w:val="24"/>
          <w:lang w:eastAsia="pl-PL"/>
        </w:rPr>
        <w:t>był</w:t>
      </w:r>
      <w:r w:rsidR="00B32C1E">
        <w:rPr>
          <w:rFonts w:ascii="Arial" w:eastAsia="Times New Roman" w:hAnsi="Arial" w:cs="Times New Roman"/>
          <w:szCs w:val="24"/>
          <w:lang w:eastAsia="pl-PL"/>
        </w:rPr>
        <w:t>o</w:t>
      </w:r>
      <w:r w:rsidR="00B32C1E" w:rsidRPr="00EF558F">
        <w:rPr>
          <w:rFonts w:ascii="Arial" w:eastAsia="Times New Roman" w:hAnsi="Arial" w:cs="Times New Roman"/>
          <w:szCs w:val="24"/>
          <w:lang w:eastAsia="pl-PL"/>
        </w:rPr>
        <w:t>by</w:t>
      </w:r>
      <w:r w:rsidR="00B32C1E">
        <w:rPr>
          <w:rFonts w:ascii="Arial" w:eastAsia="Times New Roman" w:hAnsi="Arial" w:cs="Times New Roman"/>
          <w:szCs w:val="24"/>
          <w:lang w:eastAsia="pl-PL"/>
        </w:rPr>
        <w:t xml:space="preserve"> ono</w:t>
      </w:r>
      <w:r w:rsidR="00B32C1E" w:rsidRPr="00EF558F">
        <w:rPr>
          <w:rFonts w:ascii="Arial" w:eastAsia="Times New Roman" w:hAnsi="Arial" w:cs="Times New Roman"/>
          <w:szCs w:val="24"/>
          <w:lang w:eastAsia="pl-PL"/>
        </w:rPr>
        <w:t xml:space="preserve"> </w:t>
      </w:r>
      <w:r w:rsidRPr="00EF558F">
        <w:rPr>
          <w:rFonts w:ascii="Arial" w:eastAsia="Times New Roman" w:hAnsi="Arial" w:cs="Times New Roman"/>
          <w:szCs w:val="24"/>
          <w:lang w:eastAsia="pl-PL"/>
        </w:rPr>
        <w:t>udzielane łącznie.</w:t>
      </w:r>
    </w:p>
    <w:p w:rsidR="002E1205" w:rsidRDefault="002E1205" w:rsidP="008A69F7">
      <w:pPr>
        <w:numPr>
          <w:ilvl w:val="0"/>
          <w:numId w:val="11"/>
        </w:numPr>
        <w:spacing w:after="0" w:line="360" w:lineRule="auto"/>
        <w:jc w:val="both"/>
        <w:outlineLvl w:val="5"/>
        <w:rPr>
          <w:rFonts w:ascii="Arial" w:eastAsia="Times New Roman" w:hAnsi="Arial" w:cs="Times New Roman"/>
          <w:szCs w:val="24"/>
          <w:lang w:eastAsia="pl-PL"/>
        </w:rPr>
      </w:pPr>
      <w:r w:rsidRPr="002E1205">
        <w:rPr>
          <w:rFonts w:ascii="Arial" w:eastAsia="Times New Roman" w:hAnsi="Arial" w:cs="Times New Roman"/>
          <w:szCs w:val="24"/>
          <w:lang w:eastAsia="pl-PL"/>
        </w:rPr>
        <w:t xml:space="preserve">W celu uzyskania najbardziej konkurencyjnych ofert oraz mając na uwadze zakaz dzielenia zamówień publicznych, </w:t>
      </w:r>
      <w:r w:rsidR="00255346">
        <w:rPr>
          <w:rFonts w:ascii="Arial" w:eastAsia="Times New Roman" w:hAnsi="Arial" w:cs="Times New Roman"/>
          <w:szCs w:val="24"/>
          <w:lang w:eastAsia="pl-PL"/>
        </w:rPr>
        <w:t xml:space="preserve">udzielanych zgodnie z ustawą </w:t>
      </w:r>
      <w:proofErr w:type="spellStart"/>
      <w:r w:rsidR="00255346">
        <w:rPr>
          <w:rFonts w:ascii="Arial" w:eastAsia="Times New Roman" w:hAnsi="Arial" w:cs="Times New Roman"/>
          <w:szCs w:val="24"/>
          <w:lang w:eastAsia="pl-PL"/>
        </w:rPr>
        <w:t>Pzp</w:t>
      </w:r>
      <w:proofErr w:type="spellEnd"/>
      <w:r w:rsidR="00255346">
        <w:rPr>
          <w:rFonts w:ascii="Arial" w:eastAsia="Times New Roman" w:hAnsi="Arial" w:cs="Times New Roman"/>
          <w:szCs w:val="24"/>
          <w:lang w:eastAsia="pl-PL"/>
        </w:rPr>
        <w:t xml:space="preserve">, </w:t>
      </w:r>
      <w:r w:rsidRPr="002E1205">
        <w:rPr>
          <w:rFonts w:ascii="Arial" w:eastAsia="Times New Roman" w:hAnsi="Arial" w:cs="Times New Roman"/>
          <w:szCs w:val="24"/>
          <w:lang w:eastAsia="pl-PL"/>
        </w:rPr>
        <w:t>w celu uniknięcia stosowania przepisów ustawy, w przypadku beneficjentów będących jednostkami centralnymi i realizującymi projekt przy pomocy jednostek terenowych/lokalnych, zaleca się przeprowadzenie postępowania o udzielenie zamówienia</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publicznego</w:t>
      </w:r>
      <w:r w:rsidRPr="002E1205">
        <w:rPr>
          <w:rFonts w:ascii="Arial" w:eastAsia="Times New Roman" w:hAnsi="Arial" w:cs="Times New Roman"/>
          <w:szCs w:val="24"/>
          <w:lang w:eastAsia="pl-PL"/>
        </w:rPr>
        <w:t xml:space="preserve"> na poziomie centralnym, chyba że istnieją przesłanki uzasadniające przyjęcie innego trybu postępowania. Decyzja o zamówieniu</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publicznym</w:t>
      </w:r>
      <w:r w:rsidRPr="002E1205">
        <w:rPr>
          <w:rFonts w:ascii="Arial" w:eastAsia="Times New Roman" w:hAnsi="Arial" w:cs="Times New Roman"/>
          <w:szCs w:val="24"/>
          <w:lang w:eastAsia="pl-PL"/>
        </w:rPr>
        <w:t xml:space="preserve"> zdecentralizowanym może zostać podjęta pod warunkiem analizy obu metod zakupów wykazującej korzyści finansowe i konkurencyjność na rzecz drugiego rozwiązania. Wystąpienie ww. przesłanek powinno zostać udokumentowane w postaci oszacowania i porównania korzyści i kosztów związanych z wyborem obydwu metod zakupu: centralnego i zdecentralizowanego.</w:t>
      </w:r>
    </w:p>
    <w:p w:rsidR="00903FFD" w:rsidRPr="007E469E" w:rsidRDefault="00903FFD" w:rsidP="0097059F">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Szacując wartość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zaleca się, aby bazować na aktualnie</w:t>
      </w:r>
      <w:r w:rsidRPr="007E469E">
        <w:rPr>
          <w:rFonts w:ascii="Arial" w:eastAsia="Times New Roman" w:hAnsi="Arial" w:cs="Times New Roman"/>
          <w:szCs w:val="24"/>
          <w:lang w:eastAsia="pl-PL"/>
        </w:rPr>
        <w:t xml:space="preserve"> funkcjonujących na rynku</w:t>
      </w:r>
      <w:r w:rsidRPr="007E469E">
        <w:rPr>
          <w:rStyle w:val="Odwoanieprzypisudolnego"/>
          <w:rFonts w:ascii="Arial" w:eastAsia="Times New Roman" w:hAnsi="Arial" w:cs="Times New Roman"/>
          <w:szCs w:val="24"/>
          <w:lang w:eastAsia="pl-PL"/>
        </w:rPr>
        <w:footnoteReference w:id="24"/>
      </w:r>
      <w:r w:rsidRPr="007E469E">
        <w:rPr>
          <w:rFonts w:ascii="Arial" w:eastAsia="Times New Roman" w:hAnsi="Arial" w:cs="Times New Roman"/>
          <w:szCs w:val="24"/>
          <w:lang w:eastAsia="pl-PL"/>
        </w:rPr>
        <w:t xml:space="preserve"> cenach zamawianych dóbr. W tym celu</w:t>
      </w:r>
      <w:r w:rsidR="002E1205">
        <w:rPr>
          <w:rFonts w:ascii="Arial" w:eastAsia="Times New Roman" w:hAnsi="Arial" w:cs="Times New Roman"/>
          <w:szCs w:val="24"/>
          <w:lang w:eastAsia="pl-PL"/>
        </w:rPr>
        <w:t xml:space="preserve">, tam gdzie jest to możliwe </w:t>
      </w:r>
      <w:r w:rsidRPr="007E469E">
        <w:rPr>
          <w:rFonts w:ascii="Arial" w:eastAsia="Times New Roman" w:hAnsi="Arial" w:cs="Times New Roman"/>
          <w:szCs w:val="24"/>
          <w:lang w:eastAsia="pl-PL"/>
        </w:rPr>
        <w:t xml:space="preserve">należy przeprowadzić rozeznanie rynku </w:t>
      </w:r>
      <w:r w:rsidR="0097059F" w:rsidRPr="0097059F">
        <w:rPr>
          <w:rFonts w:ascii="Arial" w:eastAsia="Times New Roman" w:hAnsi="Arial" w:cs="Times New Roman"/>
          <w:szCs w:val="24"/>
          <w:lang w:eastAsia="pl-PL"/>
        </w:rPr>
        <w:t>(np. mailowo, wydruki z cennikiem ze stron wykonawców itp.)</w:t>
      </w:r>
      <w:r w:rsidR="0097059F">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wśród co najmniej trzech potencjalnych wykonawców danego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W przypadku, gdy na rynku nie istnieje trzech potencjalnych wykonawców, należy przedstawić uzasadnienie wskazujące na obiektywne przesłanki potwierdzające ten fakt. Szacując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można również bazować na podobnych zamówieniach </w:t>
      </w:r>
      <w:r w:rsidR="00F40AD0">
        <w:rPr>
          <w:rFonts w:ascii="Arial" w:eastAsia="Times New Roman" w:hAnsi="Arial" w:cs="Times New Roman"/>
          <w:szCs w:val="24"/>
          <w:lang w:eastAsia="pl-PL"/>
        </w:rPr>
        <w:t xml:space="preserve">publicznych </w:t>
      </w:r>
      <w:r w:rsidRPr="007E469E">
        <w:rPr>
          <w:rFonts w:ascii="Arial" w:eastAsia="Times New Roman" w:hAnsi="Arial" w:cs="Times New Roman"/>
          <w:szCs w:val="24"/>
          <w:lang w:eastAsia="pl-PL"/>
        </w:rPr>
        <w:t xml:space="preserve">przeprowadzonych w terminie wskazanym w art. 35 ust. 1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xml:space="preserve">, jeśli ich wykonawcy zostali wybrani w procedurze konkurencyjnej. Dokumenty dotyczące sposobu oszacowania wartości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powinny zostać zarchiwizowane łącznie z dokumentacją zamówienia</w:t>
      </w:r>
      <w:r w:rsidR="00061EF4">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Oszacowana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powinna być ważna w chwili publikacji ogłoszenia o zamówieniu</w:t>
      </w:r>
      <w:r w:rsidR="00F40AD0">
        <w:rPr>
          <w:rFonts w:ascii="Arial" w:eastAsia="Times New Roman" w:hAnsi="Arial" w:cs="Times New Roman"/>
          <w:szCs w:val="24"/>
          <w:lang w:eastAsia="pl-PL"/>
        </w:rPr>
        <w:t xml:space="preserve"> publicznym</w:t>
      </w:r>
      <w:r w:rsidRPr="007E469E">
        <w:rPr>
          <w:rFonts w:ascii="Arial" w:eastAsia="Times New Roman" w:hAnsi="Arial" w:cs="Times New Roman"/>
          <w:szCs w:val="24"/>
          <w:lang w:eastAsia="pl-PL"/>
        </w:rPr>
        <w:t xml:space="preserve">, zgodnie z art. 35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xml:space="preserve">. Jeżeli po ustaleniu wartości zamówienia </w:t>
      </w:r>
      <w:r w:rsidR="000D7FC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nastąpi zmiana okoliczności mających wpływ na ustaloną już </w:t>
      </w:r>
      <w:r w:rsidR="000D7FC0">
        <w:rPr>
          <w:rFonts w:ascii="Arial" w:eastAsia="Times New Roman" w:hAnsi="Arial" w:cs="Times New Roman"/>
          <w:szCs w:val="24"/>
          <w:lang w:eastAsia="pl-PL"/>
        </w:rPr>
        <w:t>jego</w:t>
      </w:r>
      <w:r w:rsidR="00D9225F">
        <w:rPr>
          <w:rFonts w:ascii="Arial" w:eastAsia="Times New Roman" w:hAnsi="Arial" w:cs="Times New Roman"/>
          <w:szCs w:val="24"/>
          <w:lang w:eastAsia="pl-PL"/>
        </w:rPr>
        <w:t xml:space="preserve"> wartość</w:t>
      </w:r>
      <w:r w:rsidRPr="007E469E">
        <w:rPr>
          <w:rFonts w:ascii="Arial" w:eastAsia="Times New Roman" w:hAnsi="Arial" w:cs="Times New Roman"/>
          <w:szCs w:val="24"/>
          <w:lang w:eastAsia="pl-PL"/>
        </w:rPr>
        <w:t>, należy, przed wszczęciem postępowania, dokonać ponownego oszacowania wartości</w:t>
      </w:r>
      <w:r w:rsidR="000D7FC0">
        <w:rPr>
          <w:rFonts w:ascii="Arial" w:eastAsia="Times New Roman" w:hAnsi="Arial" w:cs="Times New Roman"/>
          <w:szCs w:val="24"/>
          <w:lang w:eastAsia="pl-PL"/>
        </w:rPr>
        <w:t xml:space="preserve"> zamówienia publicznego</w:t>
      </w:r>
      <w:r w:rsidRPr="007E469E">
        <w:rPr>
          <w:rFonts w:ascii="Arial" w:eastAsia="Times New Roman" w:hAnsi="Arial" w:cs="Times New Roman"/>
          <w:szCs w:val="24"/>
          <w:lang w:eastAsia="pl-PL"/>
        </w:rPr>
        <w:t xml:space="preserve">. Sposób oszacowania wartości </w:t>
      </w:r>
      <w:r w:rsidR="00F40AD0" w:rsidRPr="007E469E">
        <w:rPr>
          <w:rFonts w:ascii="Arial" w:eastAsia="Times New Roman" w:hAnsi="Arial" w:cs="Times New Roman"/>
          <w:szCs w:val="24"/>
          <w:lang w:eastAsia="pl-PL"/>
        </w:rPr>
        <w:t>zamówienia</w:t>
      </w:r>
      <w:r w:rsidR="00F40AD0">
        <w:rPr>
          <w:rFonts w:ascii="Arial" w:eastAsia="Times New Roman" w:hAnsi="Arial" w:cs="Times New Roman"/>
          <w:szCs w:val="24"/>
          <w:lang w:eastAsia="pl-PL"/>
        </w:rPr>
        <w:t xml:space="preserve"> publicznego </w:t>
      </w:r>
      <w:r w:rsidRPr="007E469E">
        <w:rPr>
          <w:rFonts w:ascii="Arial" w:eastAsia="Times New Roman" w:hAnsi="Arial" w:cs="Times New Roman"/>
          <w:szCs w:val="24"/>
          <w:lang w:eastAsia="pl-PL"/>
        </w:rPr>
        <w:t xml:space="preserve">powinien zostać udokumentowany.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Na każdym etapie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należy zapewnić odpowiedni potencjał kadrowy wystarczający do wykonania przewidzianych zadań.</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Sposób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powinien być nadzorowany. Sposób odbioru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powinien być protokołowany. Nadzorowanie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może oznaczać także sprawdzanie warunków. W tym celu zaleca się stosowanie procedur wewnętrznych, określających sposób realizacji i odbioru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w tym odpowiedzialność oraz zadania i terminy oraz wzory dokumentów (w szczególności wzór protokołu odbioru przedmiotu zamówienia</w:t>
      </w:r>
      <w:r w:rsidR="000D7FC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który pozwala m.in. na sprawdzenie, czy wszystkie elementy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zostały zrealizowane zgodnie z zapisami umowy).</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Osoby uczestniczące w otwarciu ofert powinny udokumentować swoją obecność podpisem na liście obecności. Lista obecności powinna wskazywać w szczególności na nazwę postępowania oraz datę oraz godzinę otwarcia ofert. Złożone oferty – przed ich otwarciem – powinny zostać okazane osobom obecnym, które stwierdzą nienaruszalność kopert poprzez złożenie podpisu pod stosownym oświadczeniem, stanowiącym np. załącznik do dokumentacji postępowania.</w:t>
      </w:r>
    </w:p>
    <w:p w:rsidR="00903FFD"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nie można opisywać przez wskazanie znaków towarowych, patentów lub pochodzenia, chyba że jest to uzasadnione specyfiką przedmiotu zamówienia</w:t>
      </w:r>
      <w:r w:rsidR="00463D32">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i zamawiający nie może opisać 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za pomocą dostatecznie dokładnych określeń, a wskazaniu takiemu towarzyszą wyrazy "lub równoważny" (art. 29 ust 3 ustawy </w:t>
      </w:r>
      <w:proofErr w:type="spellStart"/>
      <w:r w:rsidRPr="007E469E">
        <w:rPr>
          <w:rFonts w:ascii="Arial" w:eastAsia="Times New Roman" w:hAnsi="Arial" w:cs="Times New Roman"/>
          <w:szCs w:val="24"/>
          <w:lang w:eastAsia="pl-PL"/>
        </w:rPr>
        <w:t>Pzp</w:t>
      </w:r>
      <w:proofErr w:type="spellEnd"/>
      <w:r w:rsidRPr="007E469E">
        <w:rPr>
          <w:rFonts w:ascii="Arial" w:eastAsia="Times New Roman" w:hAnsi="Arial" w:cs="Times New Roman"/>
          <w:szCs w:val="24"/>
          <w:lang w:eastAsia="pl-PL"/>
        </w:rPr>
        <w:t>). Należy zatem w dokumentach specyfikujących zamówienie</w:t>
      </w:r>
      <w:r w:rsidR="00463D32">
        <w:rPr>
          <w:rFonts w:ascii="Arial" w:eastAsia="Times New Roman" w:hAnsi="Arial" w:cs="Times New Roman"/>
          <w:szCs w:val="24"/>
          <w:lang w:eastAsia="pl-PL"/>
        </w:rPr>
        <w:t xml:space="preserve"> publiczne</w:t>
      </w:r>
      <w:r w:rsidRPr="007E469E">
        <w:rPr>
          <w:rFonts w:ascii="Arial" w:eastAsia="Times New Roman" w:hAnsi="Arial" w:cs="Times New Roman"/>
          <w:szCs w:val="24"/>
          <w:lang w:eastAsia="pl-PL"/>
        </w:rPr>
        <w:t xml:space="preserve"> unikać użycia nazw handlowych. Dana praktyka ogranicza konkurencję do dostawców produktów konkretnej firmy. Uzależnienie od jednego wykonawcy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np. w przypadku systemu ICT i jego przyszłych aktualizacji, może prowadzić do powstania problemów w zakresie ciągłości działania. Istnieje bowiem ryzyko, iż dany wykonawca może podjąć decyzję o zaprzestaniu obsługi systemu lub jego niektórych elementów.</w:t>
      </w:r>
    </w:p>
    <w:p w:rsidR="00264C1D" w:rsidRPr="007E469E" w:rsidRDefault="00264C1D" w:rsidP="008A69F7">
      <w:pPr>
        <w:numPr>
          <w:ilvl w:val="0"/>
          <w:numId w:val="11"/>
        </w:numPr>
        <w:spacing w:after="0" w:line="360" w:lineRule="auto"/>
        <w:jc w:val="both"/>
        <w:outlineLvl w:val="5"/>
        <w:rPr>
          <w:rFonts w:ascii="Arial" w:eastAsia="Times New Roman" w:hAnsi="Arial" w:cs="Times New Roman"/>
          <w:szCs w:val="24"/>
          <w:lang w:eastAsia="pl-PL"/>
        </w:rPr>
      </w:pPr>
      <w:r w:rsidRPr="00264C1D">
        <w:rPr>
          <w:rFonts w:ascii="Arial" w:eastAsia="Times New Roman" w:hAnsi="Arial" w:cs="Times New Roman"/>
          <w:szCs w:val="24"/>
          <w:lang w:eastAsia="pl-PL"/>
        </w:rPr>
        <w:t xml:space="preserve">Szczególnie w przypadku zamówień </w:t>
      </w:r>
      <w:r w:rsidR="000F7D49">
        <w:rPr>
          <w:rFonts w:ascii="Arial" w:eastAsia="Times New Roman" w:hAnsi="Arial" w:cs="Times New Roman"/>
          <w:szCs w:val="24"/>
          <w:lang w:eastAsia="pl-PL"/>
        </w:rPr>
        <w:t xml:space="preserve">publicznych </w:t>
      </w:r>
      <w:r w:rsidRPr="00264C1D">
        <w:rPr>
          <w:rFonts w:ascii="Arial" w:eastAsia="Times New Roman" w:hAnsi="Arial" w:cs="Times New Roman"/>
          <w:szCs w:val="24"/>
          <w:lang w:eastAsia="pl-PL"/>
        </w:rPr>
        <w:t>na złożone, zaawansowane technicznie i innowacyjne systemy teleinformatyczne zaleca się poprzedzenie właściwego postępowania o udzielenie zamówienia publicznego</w:t>
      </w:r>
      <w:r w:rsidR="000F7D49">
        <w:rPr>
          <w:rFonts w:ascii="Arial" w:eastAsia="Times New Roman" w:hAnsi="Arial" w:cs="Times New Roman"/>
          <w:szCs w:val="24"/>
          <w:lang w:eastAsia="pl-PL"/>
        </w:rPr>
        <w:t xml:space="preserve"> </w:t>
      </w:r>
      <w:r w:rsidR="00F24101">
        <w:rPr>
          <w:rFonts w:ascii="Arial" w:eastAsia="Times New Roman" w:hAnsi="Arial" w:cs="Times New Roman"/>
          <w:szCs w:val="24"/>
          <w:lang w:eastAsia="pl-PL"/>
        </w:rPr>
        <w:t xml:space="preserve">realizowanego zgodnie z </w:t>
      </w:r>
      <w:r w:rsidR="000F7D49">
        <w:rPr>
          <w:rFonts w:ascii="Arial" w:eastAsia="Times New Roman" w:hAnsi="Arial" w:cs="Times New Roman"/>
          <w:szCs w:val="24"/>
          <w:lang w:eastAsia="pl-PL"/>
        </w:rPr>
        <w:t>ustawą</w:t>
      </w:r>
      <w:r w:rsidR="00F24101">
        <w:rPr>
          <w:rFonts w:ascii="Arial" w:eastAsia="Times New Roman" w:hAnsi="Arial" w:cs="Times New Roman"/>
          <w:szCs w:val="24"/>
          <w:lang w:eastAsia="pl-PL"/>
        </w:rPr>
        <w:t xml:space="preserve"> </w:t>
      </w:r>
      <w:proofErr w:type="spellStart"/>
      <w:r w:rsidR="00F24101">
        <w:rPr>
          <w:rFonts w:ascii="Arial" w:eastAsia="Times New Roman" w:hAnsi="Arial" w:cs="Times New Roman"/>
          <w:szCs w:val="24"/>
          <w:lang w:eastAsia="pl-PL"/>
        </w:rPr>
        <w:t>Pzp</w:t>
      </w:r>
      <w:proofErr w:type="spellEnd"/>
      <w:r w:rsidR="00F24101">
        <w:rPr>
          <w:rFonts w:ascii="Arial" w:eastAsia="Times New Roman" w:hAnsi="Arial" w:cs="Times New Roman"/>
          <w:szCs w:val="24"/>
          <w:lang w:eastAsia="pl-PL"/>
        </w:rPr>
        <w:t xml:space="preserve">, </w:t>
      </w:r>
      <w:r w:rsidRPr="00264C1D">
        <w:rPr>
          <w:rFonts w:ascii="Arial" w:eastAsia="Times New Roman" w:hAnsi="Arial" w:cs="Times New Roman"/>
          <w:szCs w:val="24"/>
          <w:lang w:eastAsia="pl-PL"/>
        </w:rPr>
        <w:t>dialogiem technicznym, o którym mowa w art 31a</w:t>
      </w:r>
      <w:r w:rsidR="005F50B1">
        <w:rPr>
          <w:rFonts w:ascii="Arial" w:eastAsia="Times New Roman" w:hAnsi="Arial" w:cs="Times New Roman"/>
          <w:szCs w:val="24"/>
          <w:lang w:eastAsia="pl-PL"/>
        </w:rPr>
        <w:t xml:space="preserve"> ustawy</w:t>
      </w:r>
      <w:r w:rsidRPr="00264C1D">
        <w:rPr>
          <w:rFonts w:ascii="Arial" w:eastAsia="Times New Roman" w:hAnsi="Arial" w:cs="Times New Roman"/>
          <w:szCs w:val="24"/>
          <w:lang w:eastAsia="pl-PL"/>
        </w:rPr>
        <w:t xml:space="preserve"> </w:t>
      </w:r>
      <w:proofErr w:type="spellStart"/>
      <w:r w:rsidRPr="00264C1D">
        <w:rPr>
          <w:rFonts w:ascii="Arial" w:eastAsia="Times New Roman" w:hAnsi="Arial" w:cs="Times New Roman"/>
          <w:szCs w:val="24"/>
          <w:lang w:eastAsia="pl-PL"/>
        </w:rPr>
        <w:t>Pzp</w:t>
      </w:r>
      <w:proofErr w:type="spellEnd"/>
      <w:r w:rsidRPr="00264C1D">
        <w:rPr>
          <w:rFonts w:ascii="Arial" w:eastAsia="Times New Roman" w:hAnsi="Arial" w:cs="Times New Roman"/>
          <w:szCs w:val="24"/>
          <w:lang w:eastAsia="pl-PL"/>
        </w:rPr>
        <w:t>.</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hAnsi="Arial" w:cs="Arial"/>
        </w:rPr>
        <w:t>W celu zapewnienia wykonawcom jednakowego dostępu do zamówienia</w:t>
      </w:r>
      <w:r w:rsidR="00463D32">
        <w:rPr>
          <w:rFonts w:ascii="Arial" w:hAnsi="Arial" w:cs="Arial"/>
        </w:rPr>
        <w:t xml:space="preserve"> publicznego</w:t>
      </w:r>
      <w:r w:rsidRPr="007E469E">
        <w:rPr>
          <w:rFonts w:ascii="Arial" w:hAnsi="Arial" w:cs="Arial"/>
        </w:rPr>
        <w:t xml:space="preserve">, opis przedmiotu zamówienia </w:t>
      </w:r>
      <w:r w:rsidR="00463D32">
        <w:rPr>
          <w:rFonts w:ascii="Arial" w:hAnsi="Arial" w:cs="Arial"/>
        </w:rPr>
        <w:t xml:space="preserve">publicznego </w:t>
      </w:r>
      <w:r w:rsidRPr="007E469E">
        <w:rPr>
          <w:rFonts w:ascii="Arial" w:hAnsi="Arial" w:cs="Arial"/>
        </w:rPr>
        <w:t>powinien być w miarę możliwości określony za pomocą norm albo za pomocą wymagań funkcjonalnych</w:t>
      </w:r>
      <w:r w:rsidRPr="007E469E">
        <w:rPr>
          <w:vertAlign w:val="superscript"/>
        </w:rPr>
        <w:footnoteReference w:id="25"/>
      </w:r>
      <w:r w:rsidRPr="007E469E">
        <w:rPr>
          <w:rFonts w:ascii="Arial" w:hAnsi="Arial" w:cs="Arial"/>
        </w:rPr>
        <w:t>. Zaleca się, aby zaproponowane przez wykonawcę rozwiązanie bądź też system był kompatybilny z innymi dostępnymi na rynku rozwiązaniami technicznymi, tak aby konieczność rozbudowy takiego systemu nie powodowała automatycznie konieczności korzystania z rozwiązań technicznych oferowanych tylko przez wykonawcę systemu.</w:t>
      </w:r>
    </w:p>
    <w:p w:rsidR="00903FFD" w:rsidRPr="007E469E" w:rsidRDefault="00264C1D" w:rsidP="008A69F7">
      <w:pPr>
        <w:numPr>
          <w:ilvl w:val="0"/>
          <w:numId w:val="11"/>
        </w:numPr>
        <w:autoSpaceDE w:val="0"/>
        <w:autoSpaceDN w:val="0"/>
        <w:adjustRightInd w:val="0"/>
        <w:spacing w:after="0" w:line="360" w:lineRule="auto"/>
        <w:jc w:val="both"/>
        <w:rPr>
          <w:rFonts w:ascii="Arial" w:hAnsi="Arial" w:cs="Arial"/>
        </w:rPr>
      </w:pPr>
      <w:r w:rsidRPr="00264C1D">
        <w:rPr>
          <w:rFonts w:ascii="Arial" w:hAnsi="Arial" w:cs="Arial"/>
        </w:rPr>
        <w:t>Zaleca się precyzyjne formułowanie w SIWZ postanowień na temat przekazania praw autorskich, licencji i dostępu do kodu źródłowego oprogramowania. Co do zasady przeniesienie praw autorskich daje najszersze uprawnienia. W przypadku licencji kluczowe jest precyzyjne, ściśle wynikające z potrzeb biznesowych zamawiającego wskazanie zakresu uprawnień (pól eksploatacji), jakimi ma on dysponować w stosunku do przedmiotu umowy.</w:t>
      </w:r>
      <w:r>
        <w:rPr>
          <w:rFonts w:ascii="Arial" w:hAnsi="Arial" w:cs="Arial"/>
        </w:rPr>
        <w:t xml:space="preserve"> </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Wybór oferty najkorzystniejszej, wykluczenie wykonawcy z udziału w postępowaniu lub odrzucenie oferty powinny być uzasadnione </w:t>
      </w:r>
      <w:r w:rsidR="00D9225F">
        <w:rPr>
          <w:rFonts w:ascii="Arial" w:eastAsia="Times New Roman" w:hAnsi="Arial" w:cs="Arial"/>
          <w:lang w:eastAsia="pl-PL"/>
        </w:rPr>
        <w:t>w sposób wyczerpujący na piśmie</w:t>
      </w:r>
      <w:r w:rsidRPr="007E469E">
        <w:rPr>
          <w:rFonts w:ascii="Arial" w:eastAsia="Times New Roman" w:hAnsi="Arial" w:cs="Arial"/>
          <w:lang w:eastAsia="pl-PL"/>
        </w:rPr>
        <w:t>. Uzasadnienie powinno wskazywać na wszystkie okoliczności faktyczne i prawne stanowiące podstawę podjętych decyzji.</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Wszelka korespondencja z wykonawcą, w tym w szczególności wyjaśnienia i uzupełnienia wpływające do zamawiającego w odpowiedzi na wezwania skierowane do wykonawców w trybie i na zasadzie przepisu art. 26 ust. 3 lub 4 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 xml:space="preserve"> powinny być starannie i rzetelnie ewidencjonowane. Korespondencja wpływająca do zamawiającego powinna zostać każdorazowo opatrzona datą wpływu, ze wskazaniem godziny oraz podpisem osoby odbierającej korespondencję.</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Wszelkie kontakty zamawiającego z wykonawcami powinny następować w formie przewidzianej postanowieniami SIWZ. Za niedopuszczalne uznaje się telefoniczne konsultacje pomiędzy przedstawicielami zamawiającego a wykonawcami, w tym w szczególności udzielanie tą drogą odpowiedzi na pytania wykonawców dotyczące postępowania i treści SIWZ.</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Za niedopuszczalne uznaje się spotkania przedstawicieli zamawiającego z wykonawcami w tym udzielanie ww. drogą jakichkolwiek informacji dotyczących postępowania lub wyjaśnień treści SIWZ, poza trybem przewidzianym w art. 38 ust. 3 </w:t>
      </w:r>
      <w:r w:rsidR="00E6142B">
        <w:rPr>
          <w:rFonts w:ascii="Arial" w:eastAsia="Times New Roman" w:hAnsi="Arial" w:cs="Arial"/>
          <w:lang w:eastAsia="pl-PL"/>
        </w:rPr>
        <w:t xml:space="preserve">ustawy </w:t>
      </w:r>
      <w:proofErr w:type="spellStart"/>
      <w:r w:rsidRPr="007E469E">
        <w:rPr>
          <w:rFonts w:ascii="Arial" w:eastAsia="Times New Roman" w:hAnsi="Arial" w:cs="Arial"/>
          <w:lang w:eastAsia="pl-PL"/>
        </w:rPr>
        <w:t>Pzp</w:t>
      </w:r>
      <w:proofErr w:type="spellEnd"/>
      <w:r w:rsidRPr="007E469E">
        <w:rPr>
          <w:rFonts w:ascii="Arial" w:eastAsia="Times New Roman" w:hAnsi="Arial" w:cs="Arial"/>
          <w:lang w:eastAsia="pl-PL"/>
        </w:rPr>
        <w:t>.</w:t>
      </w:r>
    </w:p>
    <w:p w:rsidR="00903FFD" w:rsidRPr="007E469E" w:rsidRDefault="00903FFD" w:rsidP="008A69F7">
      <w:pPr>
        <w:numPr>
          <w:ilvl w:val="0"/>
          <w:numId w:val="11"/>
        </w:numPr>
        <w:autoSpaceDE w:val="0"/>
        <w:autoSpaceDN w:val="0"/>
        <w:adjustRightInd w:val="0"/>
        <w:spacing w:after="0" w:line="360" w:lineRule="auto"/>
        <w:jc w:val="both"/>
        <w:rPr>
          <w:rFonts w:ascii="Arial" w:eastAsia="Times New Roman" w:hAnsi="Arial" w:cs="Arial"/>
          <w:lang w:eastAsia="pl-PL"/>
        </w:rPr>
      </w:pPr>
      <w:r w:rsidRPr="007E469E">
        <w:rPr>
          <w:rFonts w:ascii="Arial" w:eastAsia="Times New Roman" w:hAnsi="Arial" w:cs="Arial"/>
          <w:lang w:eastAsia="pl-PL"/>
        </w:rPr>
        <w:t>Rekomenduje się prowadzenie rejestru zamówień publicznych</w:t>
      </w:r>
      <w:r w:rsidR="00292945">
        <w:rPr>
          <w:rFonts w:ascii="Arial" w:eastAsia="Times New Roman" w:hAnsi="Arial" w:cs="Arial"/>
          <w:lang w:eastAsia="pl-PL"/>
        </w:rPr>
        <w:t xml:space="preserve"> udzielanych zgodnie z ustawą </w:t>
      </w:r>
      <w:proofErr w:type="spellStart"/>
      <w:r w:rsidR="00292945">
        <w:rPr>
          <w:rFonts w:ascii="Arial" w:eastAsia="Times New Roman" w:hAnsi="Arial" w:cs="Arial"/>
          <w:lang w:eastAsia="pl-PL"/>
        </w:rPr>
        <w:t>Pzp</w:t>
      </w:r>
      <w:proofErr w:type="spellEnd"/>
      <w:r w:rsidRPr="007E469E">
        <w:rPr>
          <w:rFonts w:ascii="Arial" w:eastAsia="Times New Roman" w:hAnsi="Arial" w:cs="Arial"/>
          <w:lang w:eastAsia="pl-PL"/>
        </w:rPr>
        <w:t xml:space="preserve"> i umów przedstawiający w klarowny sposób skalę udzielanych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tryby postępowań, w ramach których udzielono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xml:space="preserve">, </w:t>
      </w:r>
      <w:r w:rsidR="00065C4D">
        <w:rPr>
          <w:rFonts w:ascii="Arial" w:eastAsia="Times New Roman" w:hAnsi="Arial" w:cs="Arial"/>
          <w:lang w:eastAsia="pl-PL"/>
        </w:rPr>
        <w:t xml:space="preserve">oraz </w:t>
      </w:r>
      <w:r w:rsidRPr="007E469E">
        <w:rPr>
          <w:rFonts w:ascii="Arial" w:eastAsia="Times New Roman" w:hAnsi="Arial" w:cs="Arial"/>
          <w:lang w:eastAsia="pl-PL"/>
        </w:rPr>
        <w:t>informacje o wykonawcach, którym udzielono zamówień publicznych</w:t>
      </w:r>
      <w:r w:rsidR="00065C4D">
        <w:rPr>
          <w:rFonts w:ascii="Arial" w:eastAsia="Times New Roman" w:hAnsi="Arial" w:cs="Arial"/>
          <w:lang w:eastAsia="pl-PL"/>
        </w:rPr>
        <w:t>,</w:t>
      </w:r>
      <w:r w:rsidR="00CF1D0B">
        <w:rPr>
          <w:rFonts w:ascii="Arial" w:eastAsia="Times New Roman" w:hAnsi="Arial" w:cs="Arial"/>
          <w:lang w:eastAsia="pl-PL"/>
        </w:rPr>
        <w:t xml:space="preserve"> zgodnie z ustawą </w:t>
      </w:r>
      <w:proofErr w:type="spellStart"/>
      <w:r w:rsidR="00CF1D0B">
        <w:rPr>
          <w:rFonts w:ascii="Arial" w:eastAsia="Times New Roman" w:hAnsi="Arial" w:cs="Arial"/>
          <w:lang w:eastAsia="pl-PL"/>
        </w:rPr>
        <w:t>Pzp</w:t>
      </w:r>
      <w:proofErr w:type="spellEnd"/>
      <w:r w:rsidRPr="007E469E">
        <w:rPr>
          <w:rFonts w:ascii="Arial" w:eastAsia="Times New Roman" w:hAnsi="Arial" w:cs="Arial"/>
          <w:lang w:eastAsia="pl-PL"/>
        </w:rPr>
        <w:t>.</w:t>
      </w:r>
    </w:p>
    <w:p w:rsidR="00903FFD" w:rsidRPr="007E469E" w:rsidRDefault="00903FFD">
      <w:pPr>
        <w:rPr>
          <w:rFonts w:ascii="Arial" w:eastAsia="MS Mincho" w:hAnsi="Arial" w:cs="Arial"/>
          <w:lang w:eastAsia="ja-JP"/>
        </w:rPr>
      </w:pPr>
      <w:r w:rsidRPr="007E469E">
        <w:rPr>
          <w:rFonts w:ascii="Arial" w:eastAsia="MS Mincho" w:hAnsi="Arial" w:cs="Arial"/>
          <w:lang w:eastAsia="ja-JP"/>
        </w:rPr>
        <w:br w:type="page"/>
      </w:r>
    </w:p>
    <w:p w:rsidR="00903FFD" w:rsidRPr="007E469E"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8" w:name="_Toc428535209"/>
      <w:r w:rsidRPr="007E469E">
        <w:rPr>
          <w:rFonts w:ascii="Arial" w:eastAsia="Times New Roman" w:hAnsi="Arial" w:cs="Times New Roman"/>
          <w:b/>
          <w:bCs/>
          <w:sz w:val="24"/>
          <w:szCs w:val="20"/>
          <w:lang w:eastAsia="pl-PL"/>
        </w:rPr>
        <w:t xml:space="preserve">Załącznik nr 2 – Przykładowy wykaz możliwych nieprawidłowości w obszarze </w:t>
      </w:r>
      <w:r w:rsidR="00305BD6" w:rsidRPr="007E469E">
        <w:rPr>
          <w:rFonts w:ascii="Arial" w:eastAsia="Times New Roman" w:hAnsi="Arial" w:cs="Times New Roman"/>
          <w:b/>
          <w:bCs/>
          <w:sz w:val="24"/>
          <w:szCs w:val="20"/>
          <w:lang w:eastAsia="pl-PL"/>
        </w:rPr>
        <w:t>zamówień</w:t>
      </w:r>
      <w:r w:rsidR="00305BD6">
        <w:rPr>
          <w:rFonts w:ascii="Arial" w:eastAsia="Times New Roman" w:hAnsi="Arial" w:cs="Times New Roman"/>
          <w:b/>
          <w:bCs/>
          <w:sz w:val="24"/>
          <w:szCs w:val="20"/>
          <w:lang w:eastAsia="pl-PL"/>
        </w:rPr>
        <w:t xml:space="preserve"> publicznych</w:t>
      </w:r>
      <w:bookmarkEnd w:id="98"/>
    </w:p>
    <w:p w:rsidR="00903FFD" w:rsidRPr="007E469E" w:rsidRDefault="00903FFD" w:rsidP="00903FFD">
      <w:pPr>
        <w:spacing w:after="0" w:line="360" w:lineRule="auto"/>
        <w:ind w:left="426"/>
        <w:jc w:val="both"/>
        <w:rPr>
          <w:rFonts w:ascii="Arial" w:eastAsia="Times New Roman" w:hAnsi="Arial" w:cs="Arial"/>
          <w:lang w:eastAsia="pl-PL"/>
        </w:rPr>
      </w:pP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udzielanie zamówień </w:t>
      </w:r>
      <w:r w:rsidR="00CF1D0B">
        <w:rPr>
          <w:rFonts w:ascii="Arial" w:eastAsia="Times New Roman" w:hAnsi="Arial" w:cs="Arial"/>
          <w:lang w:eastAsia="pl-PL"/>
        </w:rPr>
        <w:t xml:space="preserve">publicznych </w:t>
      </w:r>
      <w:r w:rsidRPr="007E469E">
        <w:rPr>
          <w:rFonts w:ascii="Arial" w:eastAsia="Times New Roman" w:hAnsi="Arial" w:cs="Arial"/>
          <w:lang w:eastAsia="pl-PL"/>
        </w:rPr>
        <w:t>z wolnej ręki związanych z systemami informatycznymi, wynikające z niewłaściwego przygotowania postępowania i udzielania zamówienia publicznego.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Niedopuszczenie przez zamawiającego zaoferowania produktu równoważnego, w przypadku opisania przedmiotu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poprzez wskazanie znaków towarowych, patentów lub pochodzenia.</w:t>
      </w:r>
    </w:p>
    <w:p w:rsidR="00903FFD"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Nieuprawnione dzielenie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w:t>
      </w:r>
      <w:r w:rsidR="00445481" w:rsidRPr="00445481">
        <w:rPr>
          <w:rFonts w:ascii="Arial" w:eastAsia="Times New Roman" w:hAnsi="Arial" w:cs="Arial"/>
          <w:lang w:eastAsia="pl-PL"/>
        </w:rPr>
        <w:t>w celu zastosowania mniej restrykcyjnej zasady u</w:t>
      </w:r>
      <w:r w:rsidR="00445481">
        <w:rPr>
          <w:rFonts w:ascii="Arial" w:eastAsia="Times New Roman" w:hAnsi="Arial" w:cs="Arial"/>
          <w:lang w:eastAsia="pl-PL"/>
        </w:rPr>
        <w:t>dzielenia z</w:t>
      </w:r>
      <w:r w:rsidR="00445481" w:rsidRPr="00445481">
        <w:rPr>
          <w:rFonts w:ascii="Arial" w:eastAsia="Times New Roman" w:hAnsi="Arial" w:cs="Arial"/>
          <w:lang w:eastAsia="pl-PL"/>
        </w:rPr>
        <w:t xml:space="preserve">amówienia </w:t>
      </w:r>
      <w:r w:rsidRPr="007E469E">
        <w:rPr>
          <w:rFonts w:ascii="Arial" w:eastAsia="Times New Roman" w:hAnsi="Arial" w:cs="Arial"/>
          <w:lang w:eastAsia="pl-PL"/>
        </w:rPr>
        <w:t xml:space="preserve">w sytuacji, gdy zamawiający wszczyna kilka postępowań, które są tożsame przedmiotowo i czasowo, a zamówienie </w:t>
      </w:r>
      <w:r w:rsidR="003A4381">
        <w:rPr>
          <w:rFonts w:ascii="Arial" w:eastAsia="Times New Roman" w:hAnsi="Arial" w:cs="Arial"/>
          <w:lang w:eastAsia="pl-PL"/>
        </w:rPr>
        <w:t xml:space="preserve">publiczne </w:t>
      </w:r>
      <w:r w:rsidRPr="007E469E">
        <w:rPr>
          <w:rFonts w:ascii="Arial" w:eastAsia="Times New Roman" w:hAnsi="Arial" w:cs="Arial"/>
          <w:lang w:eastAsia="pl-PL"/>
        </w:rPr>
        <w:t>może być wykonane przez jednego wykonawcę. Tożsamość czasową należy odnosić nie tylko do roku budżetowego, ale także do całego okresu realizacji projektu.</w:t>
      </w:r>
      <w:r w:rsidR="00445481" w:rsidRPr="00445481">
        <w:rPr>
          <w:rFonts w:ascii="Arial" w:eastAsia="Times New Roman" w:hAnsi="Arial" w:cs="Arial"/>
          <w:lang w:eastAsia="pl-PL"/>
        </w:rPr>
        <w:t xml:space="preserve"> </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przedmiotem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ograniczenia dotyczące podwykonawstwa, np. wprowadzenie zasady, że określona w sposób procentowy część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nie może być zlecona podwykonawcom.</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Wymaganie od wykonawcy posiadania potencjału technicznego już na etapie składania ofert/wniosków o dopuszczenie do udziału w postępowaniu.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w:t>
      </w:r>
      <w:r w:rsidR="003A4381">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zamawiającego, aby wykonawca posiadał doświadczenie w realizacji usług, dostaw lub robót budowlanych wykonywanych wyłącznie w Polsce.</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Times New Roman" w:hAnsi="Arial" w:cs="Arial"/>
          <w:lang w:eastAsia="pl-PL"/>
        </w:rPr>
        <w:t xml:space="preserve">Odrzucenie przez zamawiającego oferty zamiast dokonania poprawy oczywistej omyłki pisarskiej/rachunkowej. </w:t>
      </w:r>
      <w:r w:rsidRPr="007E469E">
        <w:rPr>
          <w:rFonts w:ascii="Arial" w:eastAsia="Calibri" w:hAnsi="Arial" w:cs="Times New Roman"/>
          <w:szCs w:val="20"/>
        </w:rPr>
        <w:t xml:space="preserve">Za niedopuszczalne uznaje się natomiast uprzednie uzgodnienie z Wykonawcą lub jakimkolwiek innym podmiotem/jakąkolwiek inną osobą sposobu poprawienia omyłek, które pojawiły się w ofercie, a o których mowa w przepisie art.  87 ust. 2 ustawy </w:t>
      </w:r>
      <w:proofErr w:type="spellStart"/>
      <w:r w:rsidRPr="007E469E">
        <w:rPr>
          <w:rFonts w:ascii="Arial" w:eastAsia="Calibri" w:hAnsi="Arial" w:cs="Times New Roman"/>
          <w:szCs w:val="20"/>
        </w:rPr>
        <w:t>Pzp</w:t>
      </w:r>
      <w:proofErr w:type="spellEnd"/>
      <w:r w:rsidRPr="007E469E">
        <w:rPr>
          <w:rFonts w:ascii="Arial" w:eastAsia="Calibri" w:hAnsi="Arial" w:cs="Times New Roman"/>
          <w:szCs w:val="20"/>
        </w:rPr>
        <w:t>.</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 xml:space="preserve">Uznanie przez zamawiającego </w:t>
      </w:r>
      <w:r w:rsidR="00C4736B">
        <w:rPr>
          <w:rFonts w:ascii="Arial" w:eastAsia="Calibri" w:hAnsi="Arial" w:cs="Times New Roman"/>
          <w:szCs w:val="20"/>
        </w:rPr>
        <w:t xml:space="preserve">ofert, </w:t>
      </w:r>
      <w:r w:rsidRPr="007E469E">
        <w:rPr>
          <w:rFonts w:ascii="Arial" w:eastAsia="Calibri" w:hAnsi="Arial" w:cs="Times New Roman"/>
          <w:szCs w:val="20"/>
        </w:rPr>
        <w:t>wyjaśnień lub uzupełnień, które wpłynęły do zamawiającego po upływie wyznaczonego terminu lub – w zakresie uzupełnień – także w nieodpowiedniej formie.</w:t>
      </w:r>
    </w:p>
    <w:p w:rsidR="00903FFD" w:rsidRPr="0091631C"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AA41C9" w:rsidRDefault="00AA41C9" w:rsidP="0091631C">
      <w:pPr>
        <w:spacing w:after="0" w:line="360" w:lineRule="auto"/>
        <w:jc w:val="both"/>
        <w:rPr>
          <w:rFonts w:ascii="Arial" w:eastAsia="Calibri" w:hAnsi="Arial" w:cs="Times New Roman"/>
          <w:szCs w:val="20"/>
        </w:rPr>
      </w:pPr>
    </w:p>
    <w:p w:rsidR="00AA41C9" w:rsidRPr="00AB670D" w:rsidRDefault="00AA41C9" w:rsidP="0091631C">
      <w:pPr>
        <w:spacing w:after="0" w:line="360" w:lineRule="auto"/>
        <w:jc w:val="both"/>
      </w:pPr>
    </w:p>
    <w:p w:rsidR="007E0407" w:rsidRDefault="007E0407">
      <w:r>
        <w:br w:type="page"/>
      </w:r>
    </w:p>
    <w:p w:rsidR="007E0407" w:rsidRDefault="007E0407" w:rsidP="007E0407">
      <w:pPr>
        <w:spacing w:after="0" w:line="360" w:lineRule="auto"/>
        <w:ind w:left="426"/>
        <w:jc w:val="both"/>
        <w:sectPr w:rsidR="007E0407" w:rsidSect="00FF40FA">
          <w:footerReference w:type="default" r:id="rId10"/>
          <w:pgSz w:w="11906" w:h="16838"/>
          <w:pgMar w:top="1417" w:right="1417" w:bottom="1417" w:left="1417" w:header="708" w:footer="708" w:gutter="0"/>
          <w:cols w:space="708"/>
          <w:titlePg/>
          <w:docGrid w:linePitch="360"/>
        </w:sectPr>
      </w:pPr>
    </w:p>
    <w:p w:rsidR="007E0407"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9" w:name="_Toc428535210"/>
      <w:r w:rsidRPr="007E469E">
        <w:rPr>
          <w:rFonts w:ascii="Arial" w:eastAsia="Times New Roman" w:hAnsi="Arial" w:cs="Times New Roman"/>
          <w:b/>
          <w:bCs/>
          <w:sz w:val="24"/>
          <w:szCs w:val="20"/>
          <w:lang w:eastAsia="pl-PL"/>
        </w:rPr>
        <w:t xml:space="preserve">Załącznik nr </w:t>
      </w:r>
      <w:r>
        <w:rPr>
          <w:rFonts w:ascii="Arial" w:eastAsia="Times New Roman" w:hAnsi="Arial" w:cs="Times New Roman"/>
          <w:b/>
          <w:bCs/>
          <w:sz w:val="24"/>
          <w:szCs w:val="20"/>
          <w:lang w:eastAsia="pl-PL"/>
        </w:rPr>
        <w:t>3</w:t>
      </w:r>
      <w:r w:rsidRPr="007E469E">
        <w:rPr>
          <w:rFonts w:ascii="Arial" w:eastAsia="Times New Roman" w:hAnsi="Arial" w:cs="Times New Roman"/>
          <w:b/>
          <w:bCs/>
          <w:sz w:val="24"/>
          <w:szCs w:val="20"/>
          <w:lang w:eastAsia="pl-PL"/>
        </w:rPr>
        <w:t xml:space="preserve"> – </w:t>
      </w:r>
      <w:r>
        <w:rPr>
          <w:rFonts w:ascii="Arial" w:eastAsia="Times New Roman" w:hAnsi="Arial" w:cs="Times New Roman"/>
          <w:b/>
          <w:bCs/>
          <w:sz w:val="24"/>
          <w:szCs w:val="20"/>
          <w:lang w:eastAsia="pl-PL"/>
        </w:rPr>
        <w:t>Zestawienie regulacji w zakresie zasady uczciwej konkurencji, w odniesieniu do konieczności stosowania przez zamawiającego określonej ścieżki postępowania</w:t>
      </w:r>
      <w:bookmarkEnd w:id="99"/>
    </w:p>
    <w:p w:rsidR="004E2A56" w:rsidRDefault="004E2A56"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p>
    <w:p w:rsidR="008C0F3D" w:rsidRPr="00352A63" w:rsidRDefault="00012E85" w:rsidP="00B32C1E">
      <w:pPr>
        <w:spacing w:before="120" w:after="120" w:line="360" w:lineRule="auto"/>
        <w:jc w:val="both"/>
        <w:rPr>
          <w:rFonts w:ascii="Arial" w:eastAsia="MS Mincho" w:hAnsi="Arial" w:cs="Arial"/>
          <w:i/>
          <w:lang w:eastAsia="ja-JP"/>
        </w:rPr>
      </w:pPr>
      <w:r w:rsidRPr="00981286">
        <w:rPr>
          <w:rFonts w:ascii="Arial" w:eastAsia="MS Mincho" w:hAnsi="Arial" w:cs="Arial"/>
          <w:lang w:eastAsia="ja-JP"/>
        </w:rPr>
        <w:t xml:space="preserve">Poniższe zestawienie zostało opracowane na podstawie podrozdziału 6.5 </w:t>
      </w:r>
      <w:r w:rsidRPr="00981286">
        <w:rPr>
          <w:rFonts w:ascii="Arial" w:eastAsia="MS Mincho" w:hAnsi="Arial" w:cs="Arial"/>
          <w:i/>
          <w:lang w:eastAsia="ja-JP"/>
        </w:rPr>
        <w:t>Wytycznych horyzontalnych</w:t>
      </w:r>
      <w:r w:rsidRPr="00981286">
        <w:rPr>
          <w:rFonts w:ascii="Arial" w:eastAsia="MS Mincho" w:hAnsi="Arial" w:cs="Arial"/>
          <w:lang w:eastAsia="ja-JP"/>
        </w:rPr>
        <w:t xml:space="preserve"> i podrozdziału 4.5 niniejszych </w:t>
      </w:r>
      <w:r w:rsidRPr="00981286">
        <w:rPr>
          <w:rFonts w:ascii="Arial" w:eastAsia="MS Mincho" w:hAnsi="Arial" w:cs="Arial"/>
          <w:i/>
          <w:lang w:eastAsia="ja-JP"/>
        </w:rPr>
        <w:t>Wytycznych programowych</w:t>
      </w:r>
      <w:r w:rsidRPr="00981286">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3979F6" w:rsidTr="00981286">
        <w:tc>
          <w:tcPr>
            <w:tcW w:w="2835" w:type="dxa"/>
            <w:vMerge w:val="restart"/>
            <w:vAlign w:val="center"/>
          </w:tcPr>
          <w:p w:rsidR="003979F6" w:rsidRDefault="003979F6" w:rsidP="003979F6">
            <w:pPr>
              <w:jc w:val="center"/>
              <w:rPr>
                <w:rFonts w:ascii="Arial" w:eastAsia="MS Mincho" w:hAnsi="Arial" w:cs="Arial"/>
                <w:i/>
                <w:lang w:eastAsia="ja-JP"/>
              </w:rPr>
            </w:pPr>
            <w:r w:rsidRPr="003979F6">
              <w:rPr>
                <w:rFonts w:ascii="Arial" w:hAnsi="Arial" w:cs="Arial"/>
                <w:b/>
              </w:rPr>
              <w:t>Wartość zamówienia publicznego</w:t>
            </w:r>
          </w:p>
        </w:tc>
        <w:tc>
          <w:tcPr>
            <w:tcW w:w="11624" w:type="dxa"/>
            <w:gridSpan w:val="3"/>
            <w:vAlign w:val="center"/>
          </w:tcPr>
          <w:p w:rsidR="003979F6" w:rsidRDefault="003979F6" w:rsidP="003979F6">
            <w:pPr>
              <w:spacing w:before="120" w:after="120" w:line="360" w:lineRule="auto"/>
              <w:jc w:val="center"/>
              <w:rPr>
                <w:rFonts w:ascii="Arial" w:eastAsia="MS Mincho" w:hAnsi="Arial" w:cs="Arial"/>
                <w:i/>
                <w:lang w:eastAsia="ja-JP"/>
              </w:rPr>
            </w:pPr>
            <w:r>
              <w:rPr>
                <w:rFonts w:ascii="Arial" w:eastAsia="Times New Roman" w:hAnsi="Arial" w:cs="Times New Roman"/>
                <w:b/>
                <w:bCs/>
                <w:sz w:val="24"/>
                <w:szCs w:val="20"/>
                <w:lang w:eastAsia="pl-PL"/>
              </w:rPr>
              <w:t>Regulacja w zakresie zasady uczciwej konkurencji</w:t>
            </w:r>
          </w:p>
        </w:tc>
      </w:tr>
      <w:tr w:rsidR="004E2A56" w:rsidTr="00981286">
        <w:tc>
          <w:tcPr>
            <w:tcW w:w="2835" w:type="dxa"/>
            <w:vMerge/>
            <w:vAlign w:val="center"/>
          </w:tcPr>
          <w:p w:rsidR="003979F6" w:rsidRDefault="003979F6" w:rsidP="0091631C">
            <w:pPr>
              <w:spacing w:before="120" w:after="120" w:line="360" w:lineRule="auto"/>
              <w:jc w:val="center"/>
              <w:rPr>
                <w:rFonts w:ascii="Arial" w:eastAsia="MS Mincho" w:hAnsi="Arial" w:cs="Arial"/>
                <w:i/>
                <w:lang w:eastAsia="ja-JP"/>
              </w:rPr>
            </w:pPr>
          </w:p>
        </w:tc>
        <w:tc>
          <w:tcPr>
            <w:tcW w:w="3828"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zobligowani do stosowania </w:t>
            </w:r>
            <w:proofErr w:type="spellStart"/>
            <w:r w:rsidRPr="00C83F7D">
              <w:rPr>
                <w:rFonts w:ascii="Arial" w:hAnsi="Arial" w:cs="Arial"/>
                <w:b/>
              </w:rPr>
              <w:t>Pzp</w:t>
            </w:r>
            <w:proofErr w:type="spellEnd"/>
            <w:r w:rsidRPr="00C83F7D">
              <w:rPr>
                <w:rFonts w:ascii="Arial" w:hAnsi="Arial" w:cs="Arial"/>
                <w:b/>
              </w:rPr>
              <w:t xml:space="preserve"> (zgodnie z art. 3 </w:t>
            </w:r>
            <w:proofErr w:type="spellStart"/>
            <w:r w:rsidRPr="00C83F7D">
              <w:rPr>
                <w:rFonts w:ascii="Arial" w:hAnsi="Arial" w:cs="Arial"/>
                <w:b/>
              </w:rPr>
              <w:t>Pzp</w:t>
            </w:r>
            <w:proofErr w:type="spellEnd"/>
            <w:r w:rsidRPr="00C83F7D">
              <w:rPr>
                <w:rFonts w:ascii="Arial" w:hAnsi="Arial" w:cs="Arial"/>
                <w:b/>
              </w:rPr>
              <w:t>)</w:t>
            </w:r>
          </w:p>
        </w:tc>
        <w:tc>
          <w:tcPr>
            <w:tcW w:w="3827"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zobowiązani do przestrzegania zasady konkurencyjności, o której mowa w sekcji 6.5.3 </w:t>
            </w:r>
            <w:r w:rsidRPr="003979F6">
              <w:rPr>
                <w:rFonts w:ascii="Arial" w:hAnsi="Arial" w:cs="Arial"/>
                <w:b/>
              </w:rPr>
              <w:t>Wytycznych horyzontalnych</w:t>
            </w:r>
          </w:p>
        </w:tc>
        <w:tc>
          <w:tcPr>
            <w:tcW w:w="3969" w:type="dxa"/>
            <w:vAlign w:val="center"/>
          </w:tcPr>
          <w:p w:rsidR="003979F6" w:rsidRPr="003979F6" w:rsidRDefault="003979F6" w:rsidP="003979F6">
            <w:pPr>
              <w:jc w:val="center"/>
              <w:rPr>
                <w:rFonts w:ascii="Arial" w:hAnsi="Arial" w:cs="Arial"/>
                <w:b/>
              </w:rPr>
            </w:pPr>
            <w:r w:rsidRPr="00C83F7D">
              <w:rPr>
                <w:rFonts w:ascii="Arial" w:hAnsi="Arial" w:cs="Arial"/>
                <w:b/>
              </w:rPr>
              <w:t xml:space="preserve">Zamawiający niezobowiązani do stosowania </w:t>
            </w:r>
            <w:proofErr w:type="spellStart"/>
            <w:r w:rsidRPr="00C83F7D">
              <w:rPr>
                <w:rFonts w:ascii="Arial" w:hAnsi="Arial" w:cs="Arial"/>
                <w:b/>
              </w:rPr>
              <w:t>Pzp</w:t>
            </w:r>
            <w:proofErr w:type="spellEnd"/>
            <w:r w:rsidRPr="00C83F7D">
              <w:rPr>
                <w:rFonts w:ascii="Arial" w:hAnsi="Arial" w:cs="Arial"/>
                <w:b/>
              </w:rPr>
              <w:t xml:space="preserve"> lub zasady konkurencyjności, o której mowa w sekcji 6.5.3 </w:t>
            </w:r>
            <w:r w:rsidRPr="003979F6">
              <w:rPr>
                <w:rFonts w:ascii="Arial" w:hAnsi="Arial" w:cs="Arial"/>
                <w:b/>
              </w:rPr>
              <w:t>Wytycznych horyzontalnych</w:t>
            </w:r>
          </w:p>
        </w:tc>
      </w:tr>
      <w:tr w:rsidR="004E2A56" w:rsidTr="00981286">
        <w:trPr>
          <w:trHeight w:val="383"/>
        </w:trPr>
        <w:tc>
          <w:tcPr>
            <w:tcW w:w="2835" w:type="dxa"/>
          </w:tcPr>
          <w:p w:rsidR="003979F6" w:rsidRPr="003979F6" w:rsidRDefault="003979F6" w:rsidP="003979F6">
            <w:pPr>
              <w:jc w:val="center"/>
              <w:rPr>
                <w:rFonts w:ascii="Arial" w:hAnsi="Arial" w:cs="Arial"/>
                <w:b/>
                <w:sz w:val="18"/>
                <w:szCs w:val="18"/>
              </w:rPr>
            </w:pPr>
            <w:r>
              <w:rPr>
                <w:rFonts w:ascii="Arial" w:hAnsi="Arial" w:cs="Arial"/>
                <w:b/>
                <w:sz w:val="18"/>
                <w:szCs w:val="18"/>
              </w:rPr>
              <w:t>1</w:t>
            </w:r>
          </w:p>
        </w:tc>
        <w:tc>
          <w:tcPr>
            <w:tcW w:w="3828" w:type="dxa"/>
          </w:tcPr>
          <w:p w:rsidR="003979F6" w:rsidRPr="003979F6" w:rsidRDefault="003979F6" w:rsidP="003979F6">
            <w:pPr>
              <w:jc w:val="center"/>
              <w:rPr>
                <w:rFonts w:ascii="Arial" w:hAnsi="Arial" w:cs="Arial"/>
                <w:b/>
                <w:sz w:val="18"/>
                <w:szCs w:val="18"/>
              </w:rPr>
            </w:pPr>
            <w:r>
              <w:rPr>
                <w:rFonts w:ascii="Arial" w:hAnsi="Arial" w:cs="Arial"/>
                <w:b/>
                <w:sz w:val="18"/>
                <w:szCs w:val="18"/>
              </w:rPr>
              <w:t>2</w:t>
            </w:r>
          </w:p>
        </w:tc>
        <w:tc>
          <w:tcPr>
            <w:tcW w:w="3827" w:type="dxa"/>
          </w:tcPr>
          <w:p w:rsidR="003979F6" w:rsidRPr="003979F6" w:rsidRDefault="003979F6" w:rsidP="003979F6">
            <w:pPr>
              <w:jc w:val="center"/>
              <w:rPr>
                <w:rFonts w:ascii="Arial" w:hAnsi="Arial" w:cs="Arial"/>
                <w:b/>
                <w:sz w:val="18"/>
                <w:szCs w:val="18"/>
              </w:rPr>
            </w:pPr>
            <w:r>
              <w:rPr>
                <w:rFonts w:ascii="Arial" w:hAnsi="Arial" w:cs="Arial"/>
                <w:b/>
                <w:sz w:val="18"/>
                <w:szCs w:val="18"/>
              </w:rPr>
              <w:t>3</w:t>
            </w:r>
          </w:p>
        </w:tc>
        <w:tc>
          <w:tcPr>
            <w:tcW w:w="3969" w:type="dxa"/>
          </w:tcPr>
          <w:p w:rsidR="003979F6" w:rsidRPr="003979F6" w:rsidRDefault="003979F6" w:rsidP="003979F6">
            <w:pPr>
              <w:jc w:val="center"/>
              <w:rPr>
                <w:rFonts w:ascii="Arial" w:hAnsi="Arial" w:cs="Arial"/>
                <w:b/>
                <w:sz w:val="18"/>
                <w:szCs w:val="18"/>
              </w:rPr>
            </w:pPr>
            <w:r>
              <w:rPr>
                <w:rFonts w:ascii="Arial" w:hAnsi="Arial" w:cs="Arial"/>
                <w:b/>
                <w:sz w:val="18"/>
                <w:szCs w:val="18"/>
              </w:rPr>
              <w:t>4</w:t>
            </w:r>
          </w:p>
        </w:tc>
      </w:tr>
      <w:tr w:rsidR="004E2A56" w:rsidTr="00981286">
        <w:tc>
          <w:tcPr>
            <w:tcW w:w="2835" w:type="dxa"/>
          </w:tcPr>
          <w:p w:rsidR="003979F6" w:rsidRPr="00C83F7D" w:rsidRDefault="003979F6" w:rsidP="00692CF7">
            <w:pPr>
              <w:jc w:val="center"/>
              <w:rPr>
                <w:rFonts w:ascii="Arial" w:hAnsi="Arial" w:cs="Arial"/>
                <w:b/>
                <w:sz w:val="20"/>
                <w:szCs w:val="20"/>
              </w:rPr>
            </w:pPr>
          </w:p>
          <w:p w:rsidR="003979F6" w:rsidRDefault="003979F6" w:rsidP="00692CF7">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20 ty</w:t>
            </w:r>
            <w:r>
              <w:rPr>
                <w:rFonts w:ascii="Arial" w:hAnsi="Arial" w:cs="Arial"/>
                <w:b/>
                <w:sz w:val="20"/>
                <w:szCs w:val="20"/>
              </w:rPr>
              <w:t>s.</w:t>
            </w:r>
            <w:r w:rsidRPr="00C83F7D">
              <w:rPr>
                <w:rFonts w:ascii="Arial" w:hAnsi="Arial" w:cs="Arial"/>
                <w:b/>
                <w:sz w:val="20"/>
                <w:szCs w:val="20"/>
              </w:rPr>
              <w:t xml:space="preserve"> zł netto -</w:t>
            </w:r>
            <w:r>
              <w:rPr>
                <w:rFonts w:ascii="Arial" w:hAnsi="Arial" w:cs="Arial"/>
                <w:b/>
                <w:sz w:val="20"/>
                <w:szCs w:val="20"/>
              </w:rPr>
              <w:t xml:space="preserve"> </w:t>
            </w:r>
            <w:r w:rsidRPr="00C83F7D">
              <w:rPr>
                <w:rFonts w:ascii="Arial" w:hAnsi="Arial" w:cs="Arial"/>
                <w:b/>
                <w:sz w:val="20"/>
                <w:szCs w:val="20"/>
              </w:rPr>
              <w:t>50 ty</w:t>
            </w:r>
            <w:r>
              <w:rPr>
                <w:rFonts w:ascii="Arial" w:hAnsi="Arial" w:cs="Arial"/>
                <w:b/>
                <w:sz w:val="20"/>
                <w:szCs w:val="20"/>
              </w:rPr>
              <w:t>s.</w:t>
            </w:r>
            <w:r w:rsidRPr="00C83F7D">
              <w:rPr>
                <w:rFonts w:ascii="Arial" w:hAnsi="Arial" w:cs="Arial"/>
                <w:b/>
                <w:sz w:val="20"/>
                <w:szCs w:val="20"/>
              </w:rPr>
              <w:t xml:space="preserve"> zł netto</w:t>
            </w:r>
            <w:r>
              <w:rPr>
                <w:rFonts w:ascii="Arial" w:hAnsi="Arial" w:cs="Arial"/>
                <w:b/>
                <w:sz w:val="20"/>
                <w:szCs w:val="20"/>
              </w:rPr>
              <w:t xml:space="preserve"> włącznie</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r w:rsidR="00C373D1">
              <w:rPr>
                <w:rFonts w:ascii="Arial" w:hAnsi="Arial" w:cs="Arial"/>
                <w:b/>
                <w:sz w:val="20"/>
                <w:szCs w:val="20"/>
              </w:rPr>
              <w:t xml:space="preserve"> </w:t>
            </w:r>
          </w:p>
        </w:tc>
        <w:tc>
          <w:tcPr>
            <w:tcW w:w="3827"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c>
          <w:tcPr>
            <w:tcW w:w="3969" w:type="dxa"/>
          </w:tcPr>
          <w:p w:rsidR="003979F6" w:rsidRDefault="00B32C1E" w:rsidP="00C373D1">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r>
      <w:tr w:rsidR="004E2A56" w:rsidTr="00981286">
        <w:trPr>
          <w:trHeight w:val="1536"/>
        </w:trPr>
        <w:tc>
          <w:tcPr>
            <w:tcW w:w="2835" w:type="dxa"/>
          </w:tcPr>
          <w:p w:rsidR="003979F6" w:rsidRPr="00C83F7D" w:rsidRDefault="003979F6" w:rsidP="00692CF7">
            <w:pPr>
              <w:jc w:val="center"/>
              <w:rPr>
                <w:rFonts w:ascii="Arial" w:hAnsi="Arial" w:cs="Arial"/>
                <w:b/>
                <w:sz w:val="20"/>
                <w:szCs w:val="20"/>
              </w:rPr>
            </w:pPr>
          </w:p>
          <w:p w:rsidR="003979F6" w:rsidRDefault="003979F6" w:rsidP="00692CF7">
            <w:pPr>
              <w:jc w:val="center"/>
              <w:rPr>
                <w:rFonts w:ascii="Arial" w:hAnsi="Arial" w:cs="Arial"/>
                <w:b/>
                <w:sz w:val="20"/>
                <w:szCs w:val="20"/>
              </w:rPr>
            </w:pPr>
            <w:r w:rsidRPr="00C83F7D">
              <w:rPr>
                <w:rFonts w:ascii="Arial" w:hAnsi="Arial" w:cs="Arial"/>
                <w:b/>
                <w:sz w:val="20"/>
                <w:szCs w:val="20"/>
              </w:rPr>
              <w:t xml:space="preserve">Powyżej 50 tyś zł netto – do </w:t>
            </w:r>
            <w:r>
              <w:rPr>
                <w:rFonts w:ascii="Arial" w:hAnsi="Arial" w:cs="Arial"/>
                <w:b/>
                <w:sz w:val="20"/>
                <w:szCs w:val="20"/>
              </w:rPr>
              <w:t xml:space="preserve">kwoty poniżej </w:t>
            </w:r>
            <w:r w:rsidRPr="00C83F7D">
              <w:rPr>
                <w:rFonts w:ascii="Arial" w:hAnsi="Arial" w:cs="Arial"/>
                <w:b/>
                <w:sz w:val="20"/>
                <w:szCs w:val="20"/>
              </w:rPr>
              <w:t>progu wynikającego z art.</w:t>
            </w:r>
            <w:r>
              <w:rPr>
                <w:rFonts w:ascii="Arial" w:hAnsi="Arial" w:cs="Arial"/>
                <w:b/>
                <w:sz w:val="20"/>
                <w:szCs w:val="20"/>
              </w:rPr>
              <w:t xml:space="preserve"> 4 </w:t>
            </w:r>
            <w:r w:rsidRPr="00C83F7D">
              <w:rPr>
                <w:rFonts w:ascii="Arial" w:hAnsi="Arial" w:cs="Arial"/>
                <w:b/>
                <w:sz w:val="20"/>
                <w:szCs w:val="20"/>
              </w:rPr>
              <w:t xml:space="preserve">ust 8 </w:t>
            </w:r>
            <w:proofErr w:type="spellStart"/>
            <w:r w:rsidRPr="00C83F7D">
              <w:rPr>
                <w:rFonts w:ascii="Arial" w:hAnsi="Arial" w:cs="Arial"/>
                <w:b/>
                <w:sz w:val="20"/>
                <w:szCs w:val="20"/>
              </w:rPr>
              <w:t>Pzp</w:t>
            </w:r>
            <w:proofErr w:type="spellEnd"/>
            <w:r w:rsidRPr="00C83F7D">
              <w:rPr>
                <w:rFonts w:ascii="Arial" w:hAnsi="Arial" w:cs="Arial"/>
                <w:b/>
                <w:sz w:val="20"/>
                <w:szCs w:val="20"/>
              </w:rPr>
              <w:t xml:space="preserve"> tj.</w:t>
            </w:r>
            <w:r>
              <w:rPr>
                <w:rFonts w:ascii="Arial" w:hAnsi="Arial" w:cs="Arial"/>
                <w:b/>
                <w:sz w:val="20"/>
                <w:szCs w:val="20"/>
              </w:rPr>
              <w:t xml:space="preserve"> </w:t>
            </w:r>
            <w:r w:rsidRPr="00C83F7D">
              <w:rPr>
                <w:rFonts w:ascii="Arial" w:hAnsi="Arial" w:cs="Arial"/>
                <w:b/>
                <w:sz w:val="20"/>
                <w:szCs w:val="20"/>
              </w:rPr>
              <w:t xml:space="preserve">30 </w:t>
            </w:r>
            <w:r>
              <w:rPr>
                <w:rFonts w:ascii="Arial" w:hAnsi="Arial" w:cs="Arial"/>
                <w:b/>
                <w:sz w:val="20"/>
                <w:szCs w:val="20"/>
              </w:rPr>
              <w:t xml:space="preserve">tyś </w:t>
            </w:r>
            <w:r w:rsidRPr="00C83F7D">
              <w:rPr>
                <w:rFonts w:ascii="Arial" w:hAnsi="Arial" w:cs="Arial"/>
                <w:b/>
                <w:sz w:val="20"/>
                <w:szCs w:val="20"/>
              </w:rPr>
              <w:t>euro netto</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Sekcja 6.5.3 </w:t>
            </w:r>
            <w:r w:rsidRPr="00C83F7D">
              <w:rPr>
                <w:rFonts w:ascii="Arial" w:hAnsi="Arial" w:cs="Arial"/>
                <w:b/>
                <w:i/>
                <w:sz w:val="20"/>
                <w:szCs w:val="20"/>
              </w:rPr>
              <w:t>Wytycznych horyzontalnych</w:t>
            </w:r>
          </w:p>
        </w:tc>
        <w:tc>
          <w:tcPr>
            <w:tcW w:w="3827" w:type="dxa"/>
          </w:tcPr>
          <w:p w:rsidR="003979F6"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00012E85" w:rsidRPr="00981286">
              <w:rPr>
                <w:rFonts w:ascii="Arial" w:hAnsi="Arial" w:cs="Arial"/>
                <w:b/>
                <w:i/>
                <w:sz w:val="20"/>
                <w:szCs w:val="20"/>
              </w:rPr>
              <w:t>Wytycznych horyzontalnych</w:t>
            </w:r>
          </w:p>
        </w:tc>
        <w:tc>
          <w:tcPr>
            <w:tcW w:w="3969" w:type="dxa"/>
          </w:tcPr>
          <w:p w:rsidR="003979F6" w:rsidRDefault="003979F6" w:rsidP="00C373D1">
            <w:pPr>
              <w:rPr>
                <w:rFonts w:ascii="Arial" w:hAnsi="Arial" w:cs="Arial"/>
                <w:b/>
                <w:sz w:val="20"/>
                <w:szCs w:val="20"/>
              </w:rPr>
            </w:pPr>
          </w:p>
          <w:p w:rsidR="003979F6" w:rsidRDefault="004E2A56" w:rsidP="00C373D1">
            <w:pPr>
              <w:spacing w:before="120" w:after="120" w:line="360" w:lineRule="auto"/>
              <w:rPr>
                <w:rFonts w:ascii="Arial" w:eastAsia="MS Mincho" w:hAnsi="Arial" w:cs="Arial"/>
                <w:i/>
                <w:lang w:eastAsia="ja-JP"/>
              </w:rPr>
            </w:pPr>
            <w:r w:rsidRPr="004E2A56">
              <w:rPr>
                <w:rFonts w:ascii="Arial" w:hAnsi="Arial" w:cs="Arial"/>
                <w:b/>
                <w:sz w:val="20"/>
                <w:szCs w:val="20"/>
              </w:rPr>
              <w:t>Rozeznanie rynku poprzez ogłoszenie i wybór najkorzystniejszej oferty w odpowiedzi na ogłoszenie</w:t>
            </w:r>
          </w:p>
        </w:tc>
      </w:tr>
      <w:tr w:rsidR="004E2A56" w:rsidTr="00981286">
        <w:tc>
          <w:tcPr>
            <w:tcW w:w="2835" w:type="dxa"/>
          </w:tcPr>
          <w:p w:rsidR="003979F6" w:rsidRPr="00C83F7D" w:rsidRDefault="003979F6" w:rsidP="00692CF7">
            <w:pPr>
              <w:jc w:val="center"/>
              <w:rPr>
                <w:rFonts w:ascii="Arial" w:hAnsi="Arial" w:cs="Arial"/>
                <w:b/>
                <w:sz w:val="20"/>
                <w:szCs w:val="20"/>
              </w:rPr>
            </w:pPr>
          </w:p>
          <w:p w:rsidR="003979F6" w:rsidRPr="00C83F7D" w:rsidRDefault="003979F6" w:rsidP="00692CF7">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30 tyś euro</w:t>
            </w:r>
            <w:r>
              <w:rPr>
                <w:rFonts w:ascii="Arial" w:hAnsi="Arial" w:cs="Arial"/>
                <w:b/>
                <w:sz w:val="20"/>
                <w:szCs w:val="20"/>
              </w:rPr>
              <w:t xml:space="preserve"> netto włącznie</w:t>
            </w:r>
          </w:p>
          <w:p w:rsidR="003979F6" w:rsidRDefault="003979F6" w:rsidP="003979F6">
            <w:pPr>
              <w:spacing w:before="120" w:after="120" w:line="360" w:lineRule="auto"/>
              <w:jc w:val="both"/>
              <w:rPr>
                <w:rFonts w:ascii="Arial" w:eastAsia="MS Mincho" w:hAnsi="Arial" w:cs="Arial"/>
                <w:i/>
                <w:lang w:eastAsia="ja-JP"/>
              </w:rPr>
            </w:pPr>
          </w:p>
        </w:tc>
        <w:tc>
          <w:tcPr>
            <w:tcW w:w="3828" w:type="dxa"/>
          </w:tcPr>
          <w:p w:rsidR="003979F6" w:rsidRPr="00C83F7D"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proofErr w:type="spellStart"/>
            <w:r w:rsidRPr="00C83F7D">
              <w:rPr>
                <w:rFonts w:ascii="Arial" w:hAnsi="Arial" w:cs="Arial"/>
                <w:b/>
                <w:sz w:val="20"/>
                <w:szCs w:val="20"/>
              </w:rPr>
              <w:t>Pzp</w:t>
            </w:r>
            <w:proofErr w:type="spellEnd"/>
          </w:p>
        </w:tc>
        <w:tc>
          <w:tcPr>
            <w:tcW w:w="3827" w:type="dxa"/>
          </w:tcPr>
          <w:p w:rsidR="003979F6" w:rsidRPr="00C83F7D" w:rsidRDefault="003979F6" w:rsidP="00C373D1">
            <w:pPr>
              <w:rPr>
                <w:rFonts w:ascii="Arial" w:hAnsi="Arial" w:cs="Arial"/>
                <w:b/>
                <w:sz w:val="20"/>
                <w:szCs w:val="20"/>
              </w:rPr>
            </w:pPr>
          </w:p>
          <w:p w:rsidR="003979F6" w:rsidRDefault="003979F6" w:rsidP="00C373D1">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00012E85" w:rsidRPr="00981286">
              <w:rPr>
                <w:rFonts w:ascii="Arial" w:hAnsi="Arial" w:cs="Arial"/>
                <w:b/>
                <w:i/>
                <w:sz w:val="20"/>
                <w:szCs w:val="20"/>
              </w:rPr>
              <w:t>Wytycznych horyzontalnych</w:t>
            </w:r>
          </w:p>
        </w:tc>
        <w:tc>
          <w:tcPr>
            <w:tcW w:w="3969" w:type="dxa"/>
          </w:tcPr>
          <w:p w:rsidR="003979F6" w:rsidRPr="00C83F7D" w:rsidRDefault="003979F6" w:rsidP="00C373D1">
            <w:pPr>
              <w:rPr>
                <w:rFonts w:ascii="Arial" w:hAnsi="Arial" w:cs="Arial"/>
                <w:b/>
                <w:sz w:val="20"/>
                <w:szCs w:val="20"/>
              </w:rPr>
            </w:pPr>
          </w:p>
          <w:p w:rsidR="003979F6" w:rsidRDefault="004E2A56" w:rsidP="004E2A56">
            <w:pPr>
              <w:spacing w:before="120" w:after="120" w:line="360" w:lineRule="auto"/>
              <w:rPr>
                <w:rFonts w:ascii="Arial" w:eastAsia="MS Mincho" w:hAnsi="Arial" w:cs="Arial"/>
                <w:i/>
                <w:lang w:eastAsia="ja-JP"/>
              </w:rPr>
            </w:pPr>
            <w:r>
              <w:rPr>
                <w:rFonts w:ascii="Arial" w:hAnsi="Arial" w:cs="Arial"/>
                <w:b/>
                <w:sz w:val="20"/>
                <w:szCs w:val="20"/>
              </w:rPr>
              <w:t>Rozeznanie rynku poprzez ogłoszenie i</w:t>
            </w:r>
            <w:r w:rsidR="003979F6">
              <w:rPr>
                <w:rFonts w:ascii="Arial" w:hAnsi="Arial" w:cs="Arial"/>
                <w:b/>
                <w:sz w:val="20"/>
                <w:szCs w:val="20"/>
              </w:rPr>
              <w:t xml:space="preserve"> </w:t>
            </w:r>
            <w:r w:rsidR="00B86A67" w:rsidRPr="00B86A67">
              <w:rPr>
                <w:rFonts w:ascii="Arial" w:hAnsi="Arial" w:cs="Arial"/>
                <w:b/>
                <w:sz w:val="20"/>
                <w:szCs w:val="20"/>
              </w:rPr>
              <w:t>wybór najkorzystniejszej oferty w odpowiedzi na ogłoszenie</w:t>
            </w:r>
            <w:r w:rsidR="00C373D1">
              <w:rPr>
                <w:rFonts w:ascii="Arial" w:hAnsi="Arial" w:cs="Arial"/>
                <w:b/>
                <w:sz w:val="20"/>
                <w:szCs w:val="20"/>
              </w:rPr>
              <w:t xml:space="preserve">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bookmarkStart w:id="100" w:name="_GoBack"/>
      <w:bookmarkEnd w:id="100"/>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2C" w:rsidRDefault="00B9162C" w:rsidP="00045401">
      <w:pPr>
        <w:spacing w:after="0" w:line="240" w:lineRule="auto"/>
      </w:pPr>
      <w:r>
        <w:separator/>
      </w:r>
    </w:p>
  </w:endnote>
  <w:endnote w:type="continuationSeparator" w:id="0">
    <w:p w:rsidR="00B9162C" w:rsidRDefault="00B9162C"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B9162C" w:rsidRDefault="00767C5A">
        <w:pPr>
          <w:pStyle w:val="Stopka"/>
          <w:jc w:val="right"/>
        </w:pPr>
        <w:r>
          <w:fldChar w:fldCharType="begin"/>
        </w:r>
        <w:r>
          <w:instrText>PAGE   \* MERGEFORMAT</w:instrText>
        </w:r>
        <w:r>
          <w:fldChar w:fldCharType="separate"/>
        </w:r>
        <w:r w:rsidR="00D5442A">
          <w:rPr>
            <w:noProof/>
          </w:rPr>
          <w:t>56</w:t>
        </w:r>
        <w:r>
          <w:rPr>
            <w:noProof/>
          </w:rPr>
          <w:fldChar w:fldCharType="end"/>
        </w:r>
      </w:p>
    </w:sdtContent>
  </w:sdt>
  <w:p w:rsidR="00B9162C" w:rsidRDefault="00B916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2C" w:rsidRDefault="00B9162C" w:rsidP="00045401">
      <w:pPr>
        <w:spacing w:after="0" w:line="240" w:lineRule="auto"/>
      </w:pPr>
      <w:r>
        <w:separator/>
      </w:r>
    </w:p>
  </w:footnote>
  <w:footnote w:type="continuationSeparator" w:id="0">
    <w:p w:rsidR="00B9162C" w:rsidRDefault="00B9162C" w:rsidP="00045401">
      <w:pPr>
        <w:spacing w:after="0" w:line="240" w:lineRule="auto"/>
      </w:pPr>
      <w:r>
        <w:continuationSeparator/>
      </w:r>
    </w:p>
  </w:footnote>
  <w:footnote w:id="1">
    <w:p w:rsidR="00B9162C" w:rsidRPr="0006125D" w:rsidRDefault="00B9162C" w:rsidP="00AF2250">
      <w:pPr>
        <w:spacing w:before="120" w:after="120"/>
        <w:rPr>
          <w:rFonts w:ascii="Arial" w:hAnsi="Arial" w:cs="Arial"/>
          <w:sz w:val="16"/>
          <w:szCs w:val="16"/>
        </w:rPr>
      </w:pPr>
      <w:r w:rsidRPr="0006125D">
        <w:rPr>
          <w:rStyle w:val="Odwoanieprzypisudolnego"/>
          <w:rFonts w:ascii="Arial" w:hAnsi="Arial" w:cs="Arial"/>
          <w:sz w:val="16"/>
          <w:szCs w:val="16"/>
        </w:rPr>
        <w:footnoteRef/>
      </w:r>
      <w:r w:rsidRPr="0006125D">
        <w:rPr>
          <w:rFonts w:ascii="Arial" w:hAnsi="Arial" w:cs="Arial"/>
          <w:sz w:val="16"/>
          <w:szCs w:val="16"/>
        </w:rPr>
        <w:t xml:space="preserve">  </w:t>
      </w:r>
      <w:r>
        <w:rPr>
          <w:rFonts w:ascii="Arial" w:hAnsi="Arial" w:cs="Arial"/>
          <w:sz w:val="16"/>
          <w:szCs w:val="16"/>
        </w:rPr>
        <w:t xml:space="preserve">Definicja przyjęta przez </w:t>
      </w:r>
      <w:r w:rsidRPr="0006125D">
        <w:rPr>
          <w:rFonts w:ascii="Arial" w:hAnsi="Arial" w:cs="Arial"/>
          <w:sz w:val="16"/>
          <w:szCs w:val="16"/>
        </w:rPr>
        <w:t>Krajowy Instytut Norm i Technologii Stanów Zjednoczonych (NIST)</w:t>
      </w:r>
      <w:r>
        <w:rPr>
          <w:rFonts w:ascii="Arial" w:hAnsi="Arial" w:cs="Arial"/>
          <w:sz w:val="16"/>
          <w:szCs w:val="16"/>
        </w:rPr>
        <w:t>,</w:t>
      </w:r>
      <w:r w:rsidRPr="0006125D">
        <w:rPr>
          <w:rFonts w:ascii="Arial" w:hAnsi="Arial" w:cs="Arial"/>
          <w:sz w:val="16"/>
          <w:szCs w:val="16"/>
        </w:rPr>
        <w:t xml:space="preserve"> http://www.nist.gov/. </w:t>
      </w:r>
    </w:p>
  </w:footnote>
  <w:footnote w:id="2">
    <w:p w:rsidR="00B9162C" w:rsidRPr="000E3E65" w:rsidRDefault="00B9162C" w:rsidP="00416C45">
      <w:pPr>
        <w:pStyle w:val="Tekstprzypisudolnego"/>
        <w:ind w:left="0" w:firstLine="0"/>
        <w:rPr>
          <w:rFonts w:ascii="Arial" w:hAnsi="Arial" w:cs="Arial"/>
          <w:sz w:val="16"/>
          <w:szCs w:val="16"/>
        </w:rPr>
      </w:pPr>
      <w:r w:rsidRPr="000E3E65">
        <w:rPr>
          <w:rStyle w:val="Odwoanieprzypisudolnego"/>
          <w:rFonts w:ascii="Arial" w:eastAsiaTheme="majorEastAsia" w:hAnsi="Arial" w:cs="Arial"/>
          <w:sz w:val="16"/>
          <w:szCs w:val="16"/>
        </w:rPr>
        <w:footnoteRef/>
      </w:r>
      <w:r w:rsidRPr="000E3E65">
        <w:rPr>
          <w:rFonts w:ascii="Arial" w:hAnsi="Arial" w:cs="Arial"/>
          <w:sz w:val="16"/>
          <w:szCs w:val="16"/>
        </w:rPr>
        <w:t xml:space="preserve"> Definicje dochodu</w:t>
      </w:r>
      <w:r>
        <w:rPr>
          <w:rFonts w:ascii="Arial" w:hAnsi="Arial" w:cs="Arial"/>
          <w:sz w:val="16"/>
          <w:szCs w:val="16"/>
        </w:rPr>
        <w:t xml:space="preserve">, o którym mowa w art. 61 oraz 65 </w:t>
      </w:r>
      <w:r w:rsidRPr="000E3E65">
        <w:rPr>
          <w:rFonts w:ascii="Arial" w:hAnsi="Arial" w:cs="Arial"/>
          <w:sz w:val="16"/>
          <w:szCs w:val="16"/>
        </w:rPr>
        <w:t xml:space="preserve">rozporządzenia </w:t>
      </w:r>
      <w:r>
        <w:rPr>
          <w:rFonts w:ascii="Arial" w:hAnsi="Arial" w:cs="Arial"/>
          <w:sz w:val="16"/>
          <w:szCs w:val="16"/>
        </w:rPr>
        <w:t>ogólnego</w:t>
      </w:r>
      <w:r w:rsidRPr="000E3E65">
        <w:rPr>
          <w:rFonts w:ascii="Arial" w:hAnsi="Arial" w:cs="Arial"/>
          <w:i/>
          <w:sz w:val="16"/>
          <w:szCs w:val="16"/>
        </w:rPr>
        <w:t xml:space="preserve"> </w:t>
      </w:r>
      <w:r w:rsidRPr="000E3E65">
        <w:rPr>
          <w:rFonts w:ascii="Arial" w:hAnsi="Arial" w:cs="Arial"/>
          <w:sz w:val="16"/>
          <w:szCs w:val="16"/>
        </w:rPr>
        <w:t>są inne niż definicja dochodu wynikająca z krajowych przepisów o rachunkowości czy przepisów podatkowych.</w:t>
      </w:r>
    </w:p>
  </w:footnote>
  <w:footnote w:id="3">
    <w:p w:rsidR="00B9162C" w:rsidRPr="00C55C98" w:rsidRDefault="00B9162C" w:rsidP="001C60ED">
      <w:pPr>
        <w:pStyle w:val="Tekstprzypisudolnego"/>
        <w:ind w:left="0" w:firstLine="0"/>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Szczegółowe znaczenie pojęć użytych w przedmiotowej definicji znajduje się w dokumencie MIiR „Wytyczne w zakresie zagadnień związanych z przygotowaniem projektów inwestycyjnych, w tym projektów generujących dochód i projektów hybrydowych na lata 2014-2020”.</w:t>
      </w:r>
    </w:p>
  </w:footnote>
  <w:footnote w:id="4">
    <w:p w:rsidR="00B9162C" w:rsidRPr="00C55C98" w:rsidRDefault="00B9162C" w:rsidP="00DF61D4">
      <w:pPr>
        <w:pStyle w:val="Tekstprzypisudolnego"/>
        <w:ind w:left="0" w:hanging="11"/>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państwa - w kontekście pojęcia dofinansowania – nie dotyczy wkładu własnego beneficjentów będących jednostkami sektora finansów publicznych.</w:t>
      </w:r>
    </w:p>
  </w:footnote>
  <w:footnote w:id="5">
    <w:p w:rsidR="00B9162C" w:rsidRPr="00C55C98" w:rsidRDefault="00B9162C" w:rsidP="003C75A8">
      <w:pPr>
        <w:pStyle w:val="Tekstprzypisudolnego"/>
        <w:ind w:left="0" w:hanging="11"/>
        <w:rPr>
          <w:rFonts w:ascii="Arial" w:hAnsi="Arial" w:cs="Arial"/>
        </w:rPr>
      </w:pPr>
      <w:r w:rsidRPr="003C75A8">
        <w:rPr>
          <w:rStyle w:val="Odwoanieprzypisudolnego"/>
          <w:sz w:val="16"/>
          <w:szCs w:val="16"/>
        </w:rPr>
        <w:footnoteRef/>
      </w:r>
      <w:r w:rsidRPr="00250FF7">
        <w:rPr>
          <w:rStyle w:val="Odwoanieprzypisudolnego"/>
          <w:sz w:val="16"/>
          <w:szCs w:val="16"/>
        </w:rPr>
        <w:t xml:space="preserve"> </w:t>
      </w:r>
      <w:r>
        <w:rPr>
          <w:sz w:val="16"/>
          <w:szCs w:val="16"/>
        </w:rPr>
        <w:t xml:space="preserve"> </w:t>
      </w:r>
      <w:r w:rsidRPr="00C55C98">
        <w:rPr>
          <w:rStyle w:val="Odwoanieprzypisudolnego"/>
          <w:rFonts w:ascii="Arial" w:hAnsi="Arial" w:cs="Arial"/>
          <w:sz w:val="16"/>
          <w:szCs w:val="16"/>
          <w:vertAlign w:val="baseline"/>
        </w:rPr>
        <w:t>W przypadku wartości niematerialnych i prawnych oddanych do używania na podstawie umowy najmu, dzierżawy lub leasingu, wartości niematerialne</w:t>
      </w:r>
      <w:r w:rsidRPr="00C55C98">
        <w:rPr>
          <w:rFonts w:ascii="Arial" w:hAnsi="Arial" w:cs="Arial"/>
          <w:sz w:val="16"/>
          <w:szCs w:val="16"/>
        </w:rPr>
        <w:t xml:space="preserv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 </w:t>
      </w:r>
    </w:p>
  </w:footnote>
  <w:footnote w:id="6">
    <w:p w:rsidR="00B9162C" w:rsidRPr="00250FF7" w:rsidRDefault="00B9162C">
      <w:pPr>
        <w:pStyle w:val="Tekstprzypisudolnego"/>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B9162C" w:rsidRPr="00CA1CDE" w:rsidRDefault="00B9162C">
      <w:pPr>
        <w:pStyle w:val="Tekstprzypisudolnego"/>
        <w:rPr>
          <w:sz w:val="16"/>
          <w:szCs w:val="16"/>
        </w:rPr>
      </w:pPr>
      <w:r w:rsidRPr="00CA1CDE">
        <w:rPr>
          <w:rStyle w:val="Odwoanieprzypisudolnego"/>
          <w:sz w:val="16"/>
          <w:szCs w:val="16"/>
        </w:rPr>
        <w:footnoteRef/>
      </w:r>
      <w:r w:rsidRPr="00CA1CDE">
        <w:rPr>
          <w:sz w:val="16"/>
          <w:szCs w:val="16"/>
        </w:rPr>
        <w:t xml:space="preserve"> Pod pojęciem odrębnego </w:t>
      </w:r>
      <w:r>
        <w:rPr>
          <w:sz w:val="16"/>
          <w:szCs w:val="16"/>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B9162C" w:rsidRPr="008246CF" w:rsidRDefault="00B9162C"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rozporządzenia KE nr 651/2014 i spełniający wskazane w nim warunki – nie podlega obowiązkowi notyfikacji </w:t>
      </w:r>
      <w:r>
        <w:rPr>
          <w:rFonts w:ascii="Arial" w:hAnsi="Arial" w:cs="Arial"/>
          <w:sz w:val="16"/>
          <w:szCs w:val="16"/>
        </w:rPr>
        <w:t>KE</w:t>
      </w:r>
      <w:r w:rsidRPr="008246CF">
        <w:rPr>
          <w:rFonts w:ascii="Arial" w:hAnsi="Arial" w:cs="Arial"/>
          <w:sz w:val="16"/>
          <w:szCs w:val="16"/>
        </w:rPr>
        <w:t>.</w:t>
      </w:r>
    </w:p>
  </w:footnote>
  <w:footnote w:id="9">
    <w:p w:rsidR="00B9162C" w:rsidRPr="008246CF" w:rsidRDefault="00B9162C" w:rsidP="001C278F">
      <w:pPr>
        <w:spacing w:after="0" w:line="240" w:lineRule="auto"/>
        <w:jc w:val="both"/>
        <w:rPr>
          <w:rFonts w:ascii="Arial" w:hAnsi="Arial" w:cs="Arial"/>
          <w:sz w:val="16"/>
          <w:szCs w:val="16"/>
        </w:rPr>
      </w:pPr>
      <w:r w:rsidRPr="00312ABE">
        <w:rPr>
          <w:rStyle w:val="Odwoanieprzypisudolnego"/>
          <w:rFonts w:ascii="Arial" w:hAnsi="Arial" w:cs="Arial"/>
          <w:sz w:val="18"/>
          <w:szCs w:val="18"/>
        </w:rPr>
        <w:footnoteRef/>
      </w:r>
      <w:r w:rsidRPr="00312ABE">
        <w:rPr>
          <w:rFonts w:ascii="Arial" w:hAnsi="Arial" w:cs="Arial"/>
          <w:sz w:val="18"/>
          <w:szCs w:val="18"/>
        </w:rPr>
        <w:t xml:space="preserve"> </w:t>
      </w:r>
      <w:r w:rsidRPr="008246CF">
        <w:rPr>
          <w:rFonts w:ascii="Arial" w:hAnsi="Arial" w:cs="Arial"/>
          <w:sz w:val="16"/>
          <w:szCs w:val="16"/>
        </w:rPr>
        <w:t xml:space="preserve">Pakiet UOIG stanowią następujące akty:  Komunikat </w:t>
      </w:r>
      <w:r>
        <w:rPr>
          <w:rFonts w:ascii="Arial" w:hAnsi="Arial" w:cs="Arial"/>
          <w:sz w:val="16"/>
          <w:szCs w:val="16"/>
        </w:rPr>
        <w:t>KE</w:t>
      </w:r>
      <w:r w:rsidRPr="008246CF">
        <w:rPr>
          <w:rFonts w:ascii="Arial" w:hAnsi="Arial" w:cs="Arial"/>
          <w:sz w:val="16"/>
          <w:szCs w:val="16"/>
        </w:rPr>
        <w:t xml:space="preserve"> w sprawie stosowania reguł Unii Europejskiej w dziedzinie pomocy państwa w odniesieniu do rekompensaty z tytułu usług świadczonych w ogólnym interesie gospodarczym (</w:t>
      </w:r>
      <w:proofErr w:type="spellStart"/>
      <w:r w:rsidRPr="008246CF">
        <w:rPr>
          <w:rFonts w:ascii="Arial" w:hAnsi="Arial" w:cs="Arial"/>
          <w:sz w:val="16"/>
          <w:szCs w:val="16"/>
          <w:bdr w:val="none" w:sz="0" w:space="0" w:color="auto" w:frame="1"/>
        </w:rPr>
        <w:t>Dz.Urz</w:t>
      </w:r>
      <w:proofErr w:type="spellEnd"/>
      <w:r w:rsidRPr="008246CF">
        <w:rPr>
          <w:rFonts w:ascii="Arial" w:hAnsi="Arial" w:cs="Arial"/>
          <w:sz w:val="16"/>
          <w:szCs w:val="16"/>
          <w:bdr w:val="none" w:sz="0" w:space="0" w:color="auto" w:frame="1"/>
        </w:rPr>
        <w:t xml:space="preserve">. UE C 8 z </w:t>
      </w:r>
      <w:hyperlink r:id="rId1" w:tooltip="Komunikat Komisji w sprawie stosowania reguł UE w dziedzinie pomocy państwa w odniesieniu do rekompensaty z tytułu usług świadczonych w ogólnym interesie gospodarczym (Dz.Urz. UE C 8 z dnia 11 stycznia 2012 r., s. 4)" w:history="1">
        <w:r w:rsidRPr="008246CF">
          <w:rPr>
            <w:rFonts w:ascii="Arial" w:eastAsia="Times New Roman" w:hAnsi="Arial" w:cs="Arial"/>
            <w:sz w:val="16"/>
            <w:szCs w:val="16"/>
            <w:bdr w:val="none" w:sz="0" w:space="0" w:color="auto" w:frame="1"/>
            <w:lang w:eastAsia="pl-PL"/>
          </w:rPr>
          <w:t>dnia 11 stycznia 2012 r., str. 4; dalej jako: Komunikat UOIG)</w:t>
        </w:r>
      </w:hyperlink>
      <w:r w:rsidRPr="008246CF">
        <w:rPr>
          <w:rFonts w:ascii="Arial" w:eastAsia="Times New Roman" w:hAnsi="Arial" w:cs="Arial"/>
          <w:sz w:val="16"/>
          <w:szCs w:val="16"/>
          <w:lang w:eastAsia="pl-PL"/>
        </w:rPr>
        <w:t xml:space="preserve">, </w:t>
      </w:r>
      <w:r w:rsidRPr="008246CF">
        <w:rPr>
          <w:rFonts w:ascii="Arial" w:hAnsi="Arial" w:cs="Arial"/>
          <w:sz w:val="16"/>
          <w:szCs w:val="16"/>
        </w:rPr>
        <w:t xml:space="preserve">Decyzja </w:t>
      </w:r>
      <w:r>
        <w:rPr>
          <w:rFonts w:ascii="Arial" w:hAnsi="Arial" w:cs="Arial"/>
          <w:sz w:val="16"/>
          <w:szCs w:val="16"/>
        </w:rPr>
        <w:t>KE</w:t>
      </w:r>
      <w:r w:rsidRPr="008246CF">
        <w:rPr>
          <w:rFonts w:ascii="Arial" w:hAnsi="Arial" w:cs="Arial"/>
          <w:sz w:val="16"/>
          <w:szCs w:val="16"/>
        </w:rPr>
        <w:t xml:space="preserve"> z dnia 20 grudnia 2011 r. </w:t>
      </w:r>
      <w:r w:rsidRPr="008246CF">
        <w:rPr>
          <w:rFonts w:ascii="Arial" w:eastAsia="Times New Roman" w:hAnsi="Arial" w:cs="Arial"/>
          <w:color w:val="000000"/>
          <w:sz w:val="16"/>
          <w:szCs w:val="16"/>
          <w:lang w:eastAsia="pl-PL"/>
        </w:rPr>
        <w:t xml:space="preserve">w sprawie stosowania art. 106 ust.2 </w:t>
      </w:r>
      <w:r>
        <w:rPr>
          <w:rFonts w:ascii="Arial" w:eastAsia="Times New Roman" w:hAnsi="Arial" w:cs="Arial"/>
          <w:color w:val="000000"/>
          <w:sz w:val="16"/>
          <w:szCs w:val="16"/>
          <w:lang w:eastAsia="pl-PL"/>
        </w:rPr>
        <w:t>TFUE</w:t>
      </w:r>
      <w:r w:rsidRPr="008246CF">
        <w:rPr>
          <w:rFonts w:ascii="Arial" w:eastAsia="Times New Roman" w:hAnsi="Arial" w:cs="Arial"/>
          <w:color w:val="000000"/>
          <w:sz w:val="16"/>
          <w:szCs w:val="16"/>
          <w:lang w:eastAsia="pl-PL"/>
        </w:rPr>
        <w:t xml:space="preserve"> do pomocy państwa w formie rekompensaty z tytułu świadczenia usług publicznych, przyznawanej przedsiębiorstwom zobowiązanym do wykonywania usług świadczonych w ogólnym interesie gospodarczym, </w:t>
      </w:r>
      <w:hyperlink r:id="rId2" w:tooltip="Decyzja Komisji z dnia 20 grudnia 2011 r. w sprawie stosowania art. 106 ust. 2 Traktatu o funkcjonowaniu Unii Europejskiej do pomocy państwa w formie rekompensaty z tytułu świadczenia usług publicznych, przyznawanej przedsiębiorstwom zobowiązanym do wykonywani" w:history="1">
        <w:r w:rsidRPr="008246CF">
          <w:rPr>
            <w:rFonts w:ascii="Arial" w:eastAsia="Times New Roman" w:hAnsi="Arial" w:cs="Arial"/>
            <w:sz w:val="16"/>
            <w:szCs w:val="16"/>
            <w:bdr w:val="none" w:sz="0" w:space="0" w:color="auto" w:frame="1"/>
            <w:lang w:eastAsia="pl-PL"/>
          </w:rPr>
          <w:t>(Dz. Urz. UE L 7 z dnia 11 stycznia 2012 r., str. 3; dalej jako: Decyzja UOIG)</w:t>
        </w:r>
      </w:hyperlink>
      <w:r w:rsidRPr="008246CF">
        <w:rPr>
          <w:rFonts w:ascii="Arial" w:eastAsia="Times New Roman" w:hAnsi="Arial" w:cs="Arial"/>
          <w:sz w:val="16"/>
          <w:szCs w:val="16"/>
          <w:bdr w:val="none" w:sz="0" w:space="0" w:color="auto" w:frame="1"/>
          <w:lang w:eastAsia="pl-PL"/>
        </w:rPr>
        <w:t xml:space="preserve">, </w:t>
      </w:r>
      <w:r w:rsidRPr="008246CF">
        <w:rPr>
          <w:rFonts w:ascii="Arial" w:hAnsi="Arial" w:cs="Arial"/>
          <w:sz w:val="16"/>
          <w:szCs w:val="16"/>
        </w:rPr>
        <w:t xml:space="preserve">Rozporządzenie w sprawie stosowania art. 107 i 108 </w:t>
      </w:r>
      <w:r>
        <w:rPr>
          <w:rFonts w:ascii="Arial" w:hAnsi="Arial" w:cs="Arial"/>
          <w:sz w:val="16"/>
          <w:szCs w:val="16"/>
        </w:rPr>
        <w:t>TFUE</w:t>
      </w:r>
      <w:r w:rsidRPr="008246CF">
        <w:rPr>
          <w:rFonts w:ascii="Arial" w:hAnsi="Arial" w:cs="Arial"/>
          <w:sz w:val="16"/>
          <w:szCs w:val="16"/>
        </w:rPr>
        <w:t xml:space="preserve"> do pomocy de </w:t>
      </w:r>
      <w:proofErr w:type="spellStart"/>
      <w:r w:rsidRPr="008246CF">
        <w:rPr>
          <w:rFonts w:ascii="Arial" w:hAnsi="Arial" w:cs="Arial"/>
          <w:sz w:val="16"/>
          <w:szCs w:val="16"/>
        </w:rPr>
        <w:t>minimis</w:t>
      </w:r>
      <w:proofErr w:type="spellEnd"/>
      <w:r w:rsidRPr="008246CF">
        <w:rPr>
          <w:rFonts w:ascii="Arial" w:hAnsi="Arial" w:cs="Arial"/>
          <w:sz w:val="16"/>
          <w:szCs w:val="16"/>
        </w:rPr>
        <w:t xml:space="preserve"> na wykonywanie usług świadczonych w ogólnym interesie gospodarczym – określa warunki, w tym kwotę rekompensaty, przy spełnieniu których uznaje się, że rekompensata z tytułu usług świadczonych w ogólnym interesie gospodarczym nie spełnia wszystkich kryteriów z art. 107 </w:t>
      </w:r>
      <w:r>
        <w:rPr>
          <w:rFonts w:ascii="Arial" w:hAnsi="Arial" w:cs="Arial"/>
          <w:sz w:val="16"/>
          <w:szCs w:val="16"/>
        </w:rPr>
        <w:t>TFUE</w:t>
      </w:r>
      <w:r w:rsidRPr="008246CF">
        <w:rPr>
          <w:rFonts w:ascii="Arial" w:hAnsi="Arial" w:cs="Arial"/>
          <w:sz w:val="16"/>
          <w:szCs w:val="16"/>
        </w:rPr>
        <w:t xml:space="preserve"> (</w:t>
      </w:r>
      <w:proofErr w:type="spellStart"/>
      <w:r w:rsidRPr="008246CF">
        <w:rPr>
          <w:rFonts w:ascii="Arial" w:hAnsi="Arial" w:cs="Arial"/>
          <w:sz w:val="16"/>
          <w:szCs w:val="16"/>
        </w:rPr>
        <w:t>Dz.Urz</w:t>
      </w:r>
      <w:proofErr w:type="spellEnd"/>
      <w:r w:rsidRPr="008246CF">
        <w:rPr>
          <w:rFonts w:ascii="Arial" w:hAnsi="Arial" w:cs="Arial"/>
          <w:sz w:val="16"/>
          <w:szCs w:val="16"/>
        </w:rPr>
        <w:t xml:space="preserve">. UE L z dnia 26.04. 2012 r., str.8; rozporządzenie UOIG do pomocy de </w:t>
      </w:r>
      <w:proofErr w:type="spellStart"/>
      <w:r w:rsidRPr="008246CF">
        <w:rPr>
          <w:rFonts w:ascii="Arial" w:hAnsi="Arial" w:cs="Arial"/>
          <w:sz w:val="16"/>
          <w:szCs w:val="16"/>
        </w:rPr>
        <w:t>minimis</w:t>
      </w:r>
      <w:proofErr w:type="spellEnd"/>
      <w:r w:rsidRPr="008246CF">
        <w:rPr>
          <w:rFonts w:ascii="Arial" w:hAnsi="Arial" w:cs="Arial"/>
          <w:sz w:val="16"/>
          <w:szCs w:val="16"/>
        </w:rPr>
        <w:t>),</w:t>
      </w:r>
      <w:r>
        <w:rPr>
          <w:rFonts w:ascii="Arial" w:hAnsi="Arial" w:cs="Arial"/>
          <w:sz w:val="16"/>
          <w:szCs w:val="16"/>
        </w:rPr>
        <w:t xml:space="preserve"> </w:t>
      </w:r>
      <w:r w:rsidRPr="008246CF">
        <w:rPr>
          <w:rFonts w:ascii="Arial" w:hAnsi="Arial" w:cs="Arial"/>
          <w:sz w:val="16"/>
          <w:szCs w:val="16"/>
        </w:rPr>
        <w:t xml:space="preserve">Komunikat </w:t>
      </w:r>
      <w:r>
        <w:rPr>
          <w:rFonts w:ascii="Arial" w:hAnsi="Arial" w:cs="Arial"/>
          <w:sz w:val="16"/>
          <w:szCs w:val="16"/>
        </w:rPr>
        <w:t>KE</w:t>
      </w:r>
      <w:r w:rsidRPr="008246CF">
        <w:rPr>
          <w:rFonts w:ascii="Arial" w:hAnsi="Arial" w:cs="Arial"/>
          <w:sz w:val="16"/>
          <w:szCs w:val="16"/>
        </w:rPr>
        <w:t>: Zasady ramowe Unii Europejskiej dotyczące pomocy państwa w formie rekompensaty z tytułu świadczenia usług publicznych (Dz. Urz. UE C8 z dnia 11.01.2012</w:t>
      </w:r>
      <w:r>
        <w:rPr>
          <w:rFonts w:ascii="Arial" w:hAnsi="Arial" w:cs="Arial"/>
          <w:sz w:val="16"/>
          <w:szCs w:val="16"/>
        </w:rPr>
        <w:t> </w:t>
      </w:r>
      <w:r w:rsidRPr="008246CF">
        <w:rPr>
          <w:rFonts w:ascii="Arial" w:hAnsi="Arial" w:cs="Arial"/>
          <w:sz w:val="16"/>
          <w:szCs w:val="16"/>
        </w:rPr>
        <w:t>r., str.4; dalej: Zasady ramowe UOIG)</w:t>
      </w:r>
      <w:r>
        <w:rPr>
          <w:rFonts w:ascii="Arial" w:hAnsi="Arial" w:cs="Arial"/>
          <w:sz w:val="16"/>
          <w:szCs w:val="16"/>
        </w:rPr>
        <w:t>.</w:t>
      </w:r>
    </w:p>
  </w:footnote>
  <w:footnote w:id="10">
    <w:p w:rsidR="00B9162C" w:rsidRPr="003217B9" w:rsidRDefault="00B9162C" w:rsidP="003217B9">
      <w:pPr>
        <w:pStyle w:val="Tekstprzypisudolnego"/>
        <w:ind w:left="0" w:hanging="11"/>
        <w:jc w:val="both"/>
        <w:rPr>
          <w:rFonts w:ascii="Arial" w:hAnsi="Arial" w:cs="Arial"/>
          <w:sz w:val="16"/>
          <w:szCs w:val="16"/>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rPr>
        <w:t>najprawdopodobniej</w:t>
      </w:r>
      <w:r w:rsidRPr="003217B9">
        <w:rPr>
          <w:rFonts w:ascii="Arial" w:hAnsi="Arial" w:cs="Arial"/>
          <w:sz w:val="16"/>
          <w:szCs w:val="16"/>
        </w:rPr>
        <w:t xml:space="preserve"> nie będzie ona spełniać ona efektu zachęty.</w:t>
      </w:r>
      <w:r>
        <w:rPr>
          <w:rFonts w:ascii="Arial" w:hAnsi="Arial" w:cs="Arial"/>
          <w:sz w:val="16"/>
          <w:szCs w:val="16"/>
        </w:rPr>
        <w:t xml:space="preserve"> Może tak być na przykład w przypadku operatorów sieci ruchomej typu LTE (ang. </w:t>
      </w:r>
      <w:proofErr w:type="spellStart"/>
      <w:r>
        <w:rPr>
          <w:rFonts w:ascii="Arial" w:hAnsi="Arial" w:cs="Arial"/>
          <w:sz w:val="16"/>
          <w:szCs w:val="16"/>
        </w:rPr>
        <w:t>long</w:t>
      </w:r>
      <w:proofErr w:type="spellEnd"/>
      <w:r>
        <w:rPr>
          <w:rFonts w:ascii="Arial" w:hAnsi="Arial" w:cs="Arial"/>
          <w:sz w:val="16"/>
          <w:szCs w:val="16"/>
        </w:rPr>
        <w:t xml:space="preserve">-term </w:t>
      </w:r>
      <w:proofErr w:type="spellStart"/>
      <w:r>
        <w:rPr>
          <w:rFonts w:ascii="Arial" w:hAnsi="Arial" w:cs="Arial"/>
          <w:sz w:val="16"/>
          <w:szCs w:val="16"/>
        </w:rPr>
        <w:t>evolution</w:t>
      </w:r>
      <w:proofErr w:type="spellEnd"/>
      <w:r>
        <w:rPr>
          <w:rFonts w:ascii="Arial" w:hAnsi="Arial" w:cs="Arial"/>
          <w:sz w:val="16"/>
          <w:szCs w:val="16"/>
        </w:rPr>
        <w:t xml:space="preserve">) lub </w:t>
      </w:r>
      <w:proofErr w:type="spellStart"/>
      <w:r>
        <w:rPr>
          <w:rFonts w:ascii="Arial" w:hAnsi="Arial" w:cs="Arial"/>
          <w:sz w:val="16"/>
          <w:szCs w:val="16"/>
        </w:rPr>
        <w:t>LTEAdvanced</w:t>
      </w:r>
      <w:proofErr w:type="spellEnd"/>
      <w:r>
        <w:rPr>
          <w:rFonts w:ascii="Arial" w:hAnsi="Arial" w:cs="Arial"/>
          <w:sz w:val="16"/>
          <w:szCs w:val="16"/>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1">
    <w:p w:rsidR="00B9162C" w:rsidRPr="00AA2E60" w:rsidRDefault="00B9162C" w:rsidP="001C278F">
      <w:pPr>
        <w:pStyle w:val="Tekstprzypisudolnego"/>
        <w:ind w:left="0" w:firstLine="0"/>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Z zastrzeżeniem szczególnych zasad w tym zakresie wskazanych w art. 6 ust. 5 dotyczących rodzajów pomocy wskazanych w tym przepisie</w:t>
      </w:r>
      <w:r>
        <w:rPr>
          <w:rFonts w:ascii="Arial" w:hAnsi="Arial" w:cs="Arial"/>
          <w:sz w:val="16"/>
          <w:szCs w:val="16"/>
        </w:rPr>
        <w:t>, w tym pomocy na kulturę i zachowanie dziedzictwa kulturowego.</w:t>
      </w:r>
    </w:p>
  </w:footnote>
  <w:footnote w:id="12">
    <w:p w:rsidR="00B9162C" w:rsidRPr="00F80636" w:rsidRDefault="00B9162C" w:rsidP="001C278F">
      <w:pPr>
        <w:pStyle w:val="Tekstprzypisudolnego"/>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B9162C" w:rsidRPr="0091631C" w:rsidRDefault="00B9162C" w:rsidP="002F5514">
      <w:pPr>
        <w:pStyle w:val="Tekstprzypisudolnego"/>
        <w:jc w:val="both"/>
        <w:rPr>
          <w:rFonts w:ascii="Arial" w:hAnsi="Arial" w:cs="Arial"/>
          <w:sz w:val="16"/>
          <w:szCs w:val="16"/>
        </w:rPr>
      </w:pPr>
      <w:r w:rsidRPr="002F5514">
        <w:rPr>
          <w:rStyle w:val="Odwoanieprzypisudolnego"/>
          <w:rFonts w:ascii="Arial" w:hAnsi="Arial" w:cs="Arial"/>
          <w:sz w:val="16"/>
          <w:szCs w:val="16"/>
        </w:rPr>
        <w:footnoteRef/>
      </w:r>
      <w:r w:rsidRPr="002F5514">
        <w:rPr>
          <w:rStyle w:val="Odwoanieprzypisudolnego"/>
          <w:rFonts w:ascii="Arial" w:hAnsi="Arial" w:cs="Arial"/>
          <w:sz w:val="16"/>
          <w:szCs w:val="16"/>
        </w:rPr>
        <w:t xml:space="preserve"> </w:t>
      </w:r>
      <w:r>
        <w:rPr>
          <w:rFonts w:ascii="Arial" w:hAnsi="Arial" w:cs="Arial"/>
          <w:sz w:val="16"/>
          <w:szCs w:val="16"/>
        </w:rPr>
        <w:t xml:space="preserve"> Pismo Urzędu Ochrony Konkurencji i Konsumentów znak: </w:t>
      </w:r>
      <w:r w:rsidRPr="002F5514">
        <w:rPr>
          <w:rFonts w:ascii="Arial" w:hAnsi="Arial" w:cs="Arial"/>
          <w:sz w:val="16"/>
          <w:szCs w:val="16"/>
        </w:rPr>
        <w:t>DDO-52-93(3)/11/</w:t>
      </w:r>
      <w:proofErr w:type="spellStart"/>
      <w:r w:rsidRPr="002F5514">
        <w:rPr>
          <w:rFonts w:ascii="Arial" w:hAnsi="Arial" w:cs="Arial"/>
          <w:sz w:val="16"/>
          <w:szCs w:val="16"/>
        </w:rPr>
        <w:t>MGr</w:t>
      </w:r>
      <w:proofErr w:type="spellEnd"/>
      <w:r w:rsidRPr="002F5514">
        <w:rPr>
          <w:rFonts w:ascii="Arial" w:hAnsi="Arial" w:cs="Arial"/>
          <w:sz w:val="16"/>
          <w:szCs w:val="16"/>
        </w:rPr>
        <w:t xml:space="preserve"> z dnia </w:t>
      </w:r>
      <w:r>
        <w:rPr>
          <w:rFonts w:ascii="Arial" w:hAnsi="Arial" w:cs="Arial"/>
          <w:sz w:val="16"/>
          <w:szCs w:val="16"/>
        </w:rPr>
        <w:t xml:space="preserve">25 lipca </w:t>
      </w:r>
      <w:r w:rsidRPr="002F5514">
        <w:rPr>
          <w:rFonts w:ascii="Arial" w:hAnsi="Arial" w:cs="Arial"/>
          <w:sz w:val="16"/>
          <w:szCs w:val="16"/>
        </w:rPr>
        <w:t>2011</w:t>
      </w:r>
      <w:r>
        <w:rPr>
          <w:rFonts w:ascii="Arial" w:hAnsi="Arial" w:cs="Arial"/>
          <w:sz w:val="16"/>
          <w:szCs w:val="16"/>
        </w:rPr>
        <w:t xml:space="preserve"> r.</w:t>
      </w:r>
    </w:p>
  </w:footnote>
  <w:footnote w:id="14">
    <w:p w:rsidR="00B9162C" w:rsidRPr="00AA2E60" w:rsidRDefault="00B9162C" w:rsidP="001C278F">
      <w:pPr>
        <w:pStyle w:val="Tekstprzypisudolnego"/>
        <w:ind w:left="0" w:firstLine="0"/>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 xml:space="preserve">o </w:t>
      </w:r>
      <w:r w:rsidRPr="00AA2E60">
        <w:rPr>
          <w:rFonts w:ascii="Arial" w:hAnsi="Arial" w:cs="Arial"/>
          <w:sz w:val="16"/>
          <w:szCs w:val="16"/>
        </w:rPr>
        <w:t xml:space="preserve">płatność, które mogą być przedkładane wcześniej i dotyczyć wyższych kwot niż wynikałoby to </w:t>
      </w:r>
      <w:r w:rsidRPr="00B76256">
        <w:rPr>
          <w:rFonts w:ascii="Arial" w:hAnsi="Arial" w:cs="Arial"/>
          <w:sz w:val="16"/>
          <w:szCs w:val="16"/>
        </w:rPr>
        <w:t xml:space="preserve">z </w:t>
      </w:r>
      <w:r w:rsidRPr="00AA2E60">
        <w:rPr>
          <w:rFonts w:ascii="Arial" w:hAnsi="Arial" w:cs="Arial"/>
          <w:sz w:val="16"/>
          <w:szCs w:val="16"/>
        </w:rPr>
        <w:t>harmonogramu.</w:t>
      </w:r>
    </w:p>
  </w:footnote>
  <w:footnote w:id="15">
    <w:p w:rsidR="00D75851" w:rsidRPr="00981286" w:rsidRDefault="00012E85" w:rsidP="00981286">
      <w:pPr>
        <w:spacing w:after="0" w:line="240" w:lineRule="exact"/>
        <w:ind w:firstLine="425"/>
        <w:jc w:val="both"/>
        <w:rPr>
          <w:rFonts w:ascii="Arial" w:hAnsi="Arial" w:cs="Arial"/>
          <w:sz w:val="16"/>
          <w:szCs w:val="16"/>
        </w:rPr>
      </w:pPr>
      <w:r w:rsidRPr="00981286">
        <w:rPr>
          <w:rStyle w:val="Odwoanieprzypisudolnego"/>
          <w:sz w:val="16"/>
          <w:szCs w:val="16"/>
        </w:rPr>
        <w:footnoteRef/>
      </w:r>
      <w:r w:rsidRPr="00981286">
        <w:rPr>
          <w:sz w:val="16"/>
          <w:szCs w:val="16"/>
        </w:rPr>
        <w:t xml:space="preserve"> </w:t>
      </w:r>
      <w:r w:rsidR="00B9162C" w:rsidRPr="0053099E">
        <w:rPr>
          <w:rFonts w:ascii="Arial" w:eastAsia="Times New Roman" w:hAnsi="Arial" w:cs="Arial"/>
          <w:sz w:val="16"/>
          <w:szCs w:val="16"/>
        </w:rPr>
        <w:t>Patrz: wniosek 58 dyrektywy Parlamentu Europejskiego i Rady Europejskiej 2014/24/UE z dnia 26 lutego 2014 r. w sprawie zamówień publicznych, uchylająca dyrektywę 2004/18/WE (</w:t>
      </w:r>
      <w:proofErr w:type="spellStart"/>
      <w:r w:rsidR="00B9162C" w:rsidRPr="0053099E">
        <w:rPr>
          <w:rFonts w:ascii="Arial" w:eastAsia="Times New Roman" w:hAnsi="Arial" w:cs="Arial"/>
          <w:sz w:val="16"/>
          <w:szCs w:val="16"/>
        </w:rPr>
        <w:t>Dz.U.UE</w:t>
      </w:r>
      <w:proofErr w:type="spellEnd"/>
      <w:r w:rsidR="00B9162C" w:rsidRPr="0053099E">
        <w:rPr>
          <w:rFonts w:ascii="Arial" w:eastAsia="Times New Roman" w:hAnsi="Arial" w:cs="Arial"/>
          <w:sz w:val="16"/>
          <w:szCs w:val="16"/>
        </w:rPr>
        <w:t xml:space="preserve"> L z dnia 28 marca 2014 r.): „O ile niezbędne elementy postępowania o udzielenie zamówienia, takie jak dokumenty zamówienia, wnioski o dopuszczenie do udziału, potwierdzenia zainteresowania i oferty powinny zawsze być sporządzane na piśmie, to w innych przypadkach komunikacja ustna z wykonawcami powinna być nadal możliwa, pod warunkiem że jej treść jest w dostatecznym stopniu udokumentowana. Jest to konieczne, by zapewnić odpowiedni poziom przejrzystości umożliwiający weryfikację przestrzegania zasady równego traktowania. W szczególności niezbędne jest, by komunikacja ustna z oferentami - która może mieć wpływ na treść i ocenę ofert - była dokumentowana w dostatecznym stopniu i w odpowiedni sposób, na przykład na piśmie lub za pomocą nagrania, lub streszczeń głównych elementów rozmowy.”</w:t>
      </w:r>
    </w:p>
  </w:footnote>
  <w:footnote w:id="16">
    <w:p w:rsidR="00D75851" w:rsidRDefault="00012E85" w:rsidP="00981286">
      <w:pPr>
        <w:pStyle w:val="Tekstprzypisudolnego"/>
        <w:ind w:left="0" w:firstLine="0"/>
        <w:jc w:val="both"/>
        <w:rPr>
          <w:rFonts w:ascii="Arial" w:hAnsi="Arial" w:cs="Arial"/>
          <w:sz w:val="16"/>
          <w:szCs w:val="16"/>
        </w:rPr>
      </w:pPr>
      <w:r w:rsidRPr="00981286">
        <w:rPr>
          <w:rStyle w:val="Odwoanieprzypisudolnego"/>
          <w:rFonts w:eastAsiaTheme="majorEastAsia"/>
          <w:sz w:val="16"/>
          <w:szCs w:val="16"/>
        </w:rPr>
        <w:footnoteRef/>
      </w:r>
      <w:r w:rsidRPr="00981286">
        <w:rPr>
          <w:sz w:val="16"/>
          <w:szCs w:val="16"/>
        </w:rPr>
        <w:t xml:space="preserve"> </w:t>
      </w:r>
      <w:r w:rsidR="00B9162C" w:rsidRPr="003B45E6">
        <w:rPr>
          <w:rFonts w:ascii="Arial" w:hAnsi="Arial" w:cs="Arial"/>
          <w:sz w:val="16"/>
          <w:szCs w:val="16"/>
        </w:rPr>
        <w:t>Przeliczenie wartości zamówienia na euro</w:t>
      </w:r>
      <w:r w:rsidR="00B9162C">
        <w:rPr>
          <w:rFonts w:ascii="Arial" w:hAnsi="Arial" w:cs="Arial"/>
          <w:sz w:val="16"/>
          <w:szCs w:val="16"/>
        </w:rPr>
        <w:t xml:space="preserve"> następuje</w:t>
      </w:r>
      <w:r w:rsidR="00B9162C" w:rsidRPr="003B45E6">
        <w:rPr>
          <w:rFonts w:ascii="Arial" w:hAnsi="Arial" w:cs="Arial"/>
          <w:sz w:val="16"/>
          <w:szCs w:val="16"/>
        </w:rPr>
        <w:t>, gdy taka potrzeba wynika z PZP lub z Wytycznych horyzontalnych</w:t>
      </w:r>
      <w:r w:rsidR="00B9162C">
        <w:rPr>
          <w:rFonts w:ascii="Arial" w:hAnsi="Arial" w:cs="Arial"/>
          <w:sz w:val="16"/>
          <w:szCs w:val="16"/>
        </w:rPr>
        <w:t>,</w:t>
      </w:r>
      <w:r w:rsidR="00B9162C" w:rsidRPr="003B45E6">
        <w:rPr>
          <w:rFonts w:ascii="Arial" w:hAnsi="Arial" w:cs="Arial"/>
          <w:sz w:val="16"/>
          <w:szCs w:val="16"/>
        </w:rPr>
        <w:t xml:space="preserve"> w celu ustalenia</w:t>
      </w:r>
      <w:r w:rsidR="00B9162C">
        <w:rPr>
          <w:rFonts w:ascii="Arial" w:hAnsi="Arial" w:cs="Arial"/>
          <w:sz w:val="16"/>
          <w:szCs w:val="16"/>
        </w:rPr>
        <w:t>,</w:t>
      </w:r>
      <w:r w:rsidR="00B9162C" w:rsidRPr="003B45E6">
        <w:rPr>
          <w:rFonts w:ascii="Arial" w:hAnsi="Arial" w:cs="Arial"/>
          <w:sz w:val="16"/>
          <w:szCs w:val="16"/>
        </w:rPr>
        <w:t xml:space="preserve"> czy wartość zamówienia jest równa lub wyższa od progów </w:t>
      </w:r>
      <w:r w:rsidR="00B9162C">
        <w:rPr>
          <w:rFonts w:ascii="Arial" w:hAnsi="Arial" w:cs="Arial"/>
          <w:sz w:val="16"/>
          <w:szCs w:val="16"/>
        </w:rPr>
        <w:t>określonych</w:t>
      </w:r>
      <w:r w:rsidR="00B9162C" w:rsidRPr="003B45E6">
        <w:rPr>
          <w:rFonts w:ascii="Arial" w:hAnsi="Arial" w:cs="Arial"/>
          <w:sz w:val="16"/>
          <w:szCs w:val="16"/>
        </w:rPr>
        <w:t xml:space="preserve"> w euro</w:t>
      </w:r>
      <w:r w:rsidR="00B9162C">
        <w:rPr>
          <w:rFonts w:ascii="Arial" w:hAnsi="Arial" w:cs="Arial"/>
          <w:sz w:val="16"/>
          <w:szCs w:val="16"/>
        </w:rPr>
        <w:t xml:space="preserve"> </w:t>
      </w:r>
      <w:r w:rsidR="00B9162C" w:rsidRPr="003B45E6">
        <w:rPr>
          <w:rFonts w:ascii="Arial" w:hAnsi="Arial" w:cs="Arial"/>
          <w:sz w:val="16"/>
          <w:szCs w:val="16"/>
        </w:rPr>
        <w:t>w przepisach ww. dokumentów.</w:t>
      </w:r>
    </w:p>
  </w:footnote>
  <w:footnote w:id="17">
    <w:p w:rsidR="00B9162C" w:rsidRPr="00136638" w:rsidRDefault="00B9162C">
      <w:pPr>
        <w:pStyle w:val="Tekstprzypisudolnego"/>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I</w:t>
      </w:r>
      <w:r w:rsidRPr="00136638">
        <w:rPr>
          <w:rFonts w:ascii="Arial" w:hAnsi="Arial" w:cs="Arial"/>
          <w:sz w:val="16"/>
          <w:szCs w:val="16"/>
        </w:rPr>
        <w:t xml:space="preserve">nformacji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6A2CE6">
        <w:rPr>
          <w:rFonts w:ascii="Arial" w:hAnsi="Arial" w:cs="Arial"/>
          <w:sz w:val="16"/>
          <w:szCs w:val="16"/>
        </w:rPr>
        <w:sym w:font="Wingdings" w:char="F0E0"/>
      </w:r>
      <w:r w:rsidRPr="006A2CE6">
        <w:rPr>
          <w:rFonts w:ascii="Arial" w:hAnsi="Arial" w:cs="Arial"/>
          <w:sz w:val="16"/>
          <w:szCs w:val="16"/>
        </w:rPr>
        <w:t xml:space="preserve"> Archiwum kursów średnich - tabela A (CSV, XLS)</w:t>
      </w:r>
      <w:r w:rsidRPr="006A2CE6">
        <w:rPr>
          <w:rFonts w:ascii="Arial" w:hAnsi="Arial" w:cs="Arial"/>
          <w:sz w:val="16"/>
          <w:szCs w:val="16"/>
        </w:rPr>
        <w:sym w:font="Wingdings" w:char="F0E0"/>
      </w:r>
      <w:r w:rsidRPr="006A2CE6">
        <w:rPr>
          <w:rFonts w:ascii="Arial" w:hAnsi="Arial" w:cs="Arial"/>
          <w:sz w:val="16"/>
          <w:szCs w:val="16"/>
        </w:rPr>
        <w:t xml:space="preserve"> Kursy średnioważone walut obcych w złotych (Tabela A). </w:t>
      </w:r>
      <w:r w:rsidRPr="006A2CE6">
        <w:rPr>
          <w:rFonts w:ascii="Arial" w:hAnsi="Arial" w:cs="Arial"/>
          <w:sz w:val="16"/>
          <w:szCs w:val="16"/>
        </w:rPr>
        <w:sym w:font="Wingdings" w:char="F0E0"/>
      </w:r>
      <w:r w:rsidRPr="006A2CE6">
        <w:rPr>
          <w:rFonts w:ascii="Arial" w:hAnsi="Arial" w:cs="Arial"/>
          <w:sz w:val="16"/>
          <w:szCs w:val="16"/>
        </w:rPr>
        <w:t>Miesięczne</w:t>
      </w:r>
      <w:r w:rsidRPr="00136638">
        <w:rPr>
          <w:rFonts w:ascii="Arial" w:hAnsi="Arial" w:cs="Arial"/>
          <w:sz w:val="16"/>
          <w:szCs w:val="16"/>
        </w:rPr>
        <w:t>. Wskazany adres strony może ulec zmianie.</w:t>
      </w:r>
    </w:p>
  </w:footnote>
  <w:footnote w:id="18">
    <w:p w:rsidR="00B9162C" w:rsidRPr="0091631C" w:rsidRDefault="00B9162C">
      <w:pPr>
        <w:pStyle w:val="Tekstprzypisudolnego"/>
        <w:rPr>
          <w:sz w:val="16"/>
          <w:szCs w:val="16"/>
        </w:rPr>
      </w:pPr>
      <w:r w:rsidRPr="00A7227A">
        <w:rPr>
          <w:rStyle w:val="Odwoanieprzypisudolnego"/>
          <w:sz w:val="16"/>
          <w:szCs w:val="16"/>
        </w:rPr>
        <w:footnoteRef/>
      </w:r>
      <w:r w:rsidRPr="00A7227A">
        <w:rPr>
          <w:sz w:val="16"/>
          <w:szCs w:val="16"/>
        </w:rPr>
        <w:t xml:space="preserve"> Pod pojęciem </w:t>
      </w:r>
      <w:r>
        <w:rPr>
          <w:sz w:val="16"/>
          <w:szCs w:val="16"/>
        </w:rPr>
        <w:t>sprzęt informatyczny należy rozumieć również sprzęt z zakresu teleinformatyki.</w:t>
      </w:r>
    </w:p>
  </w:footnote>
  <w:footnote w:id="19">
    <w:p w:rsidR="00B9162C" w:rsidRPr="00AF3AEE" w:rsidRDefault="00B9162C" w:rsidP="0091631C">
      <w:pPr>
        <w:pStyle w:val="Tekstprzypisudolnego"/>
        <w:ind w:left="142" w:hanging="142"/>
        <w:jc w:val="both"/>
      </w:pPr>
      <w:r>
        <w:rPr>
          <w:rStyle w:val="Odwoanieprzypisudolnego"/>
        </w:rPr>
        <w:footnoteRef/>
      </w:r>
      <w:r>
        <w:t xml:space="preserve"> </w:t>
      </w:r>
      <w:r w:rsidR="00012E85" w:rsidRPr="00981286">
        <w:rPr>
          <w:rFonts w:ascii="Arial" w:hAnsi="Arial" w:cs="Arial"/>
          <w:sz w:val="16"/>
          <w:szCs w:val="16"/>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20">
    <w:p w:rsidR="00B9162C" w:rsidRPr="00C9324B" w:rsidRDefault="00B9162C" w:rsidP="00192F06">
      <w:pPr>
        <w:pStyle w:val="Tekstprzypisudolnego"/>
        <w:ind w:left="0" w:firstLine="0"/>
        <w:jc w:val="both"/>
        <w:rPr>
          <w:rFonts w:ascii="Arial" w:hAnsi="Arial" w:cs="Arial"/>
          <w:sz w:val="16"/>
          <w:szCs w:val="16"/>
        </w:rPr>
      </w:pPr>
      <w:r w:rsidRPr="00CB6FEB">
        <w:rPr>
          <w:rFonts w:ascii="Arial" w:hAnsi="Arial" w:cs="Arial"/>
          <w:sz w:val="16"/>
          <w:szCs w:val="16"/>
          <w:vertAlign w:val="superscript"/>
        </w:rPr>
        <w:footnoteRef/>
      </w:r>
      <w:r w:rsidRPr="00CB6FEB">
        <w:rPr>
          <w:rFonts w:ascii="Arial" w:hAnsi="Arial" w:cs="Arial"/>
          <w:sz w:val="16"/>
          <w:szCs w:val="16"/>
          <w:vertAlign w:val="superscript"/>
        </w:rPr>
        <w:t xml:space="preserve"> </w:t>
      </w:r>
      <w:r w:rsidRPr="00C9324B">
        <w:rPr>
          <w:rFonts w:ascii="Arial" w:hAnsi="Arial" w:cs="Arial"/>
          <w:sz w:val="16"/>
          <w:szCs w:val="16"/>
        </w:rPr>
        <w:t xml:space="preserve">Przedmiotowe procedury nie mogą prowadzić do udzielania zamówień publicznych w sposób niezgodny z przepisami ustawy </w:t>
      </w:r>
      <w:proofErr w:type="spellStart"/>
      <w:r w:rsidRPr="00C9324B">
        <w:rPr>
          <w:rFonts w:ascii="Arial" w:hAnsi="Arial" w:cs="Arial"/>
          <w:sz w:val="16"/>
          <w:szCs w:val="16"/>
        </w:rPr>
        <w:t>Pzp</w:t>
      </w:r>
      <w:proofErr w:type="spellEnd"/>
      <w:r>
        <w:rPr>
          <w:rFonts w:ascii="Arial" w:hAnsi="Arial" w:cs="Arial"/>
          <w:sz w:val="16"/>
          <w:szCs w:val="16"/>
        </w:rPr>
        <w:t xml:space="preserve">, oraz </w:t>
      </w:r>
      <w:r w:rsidRPr="006F60C5">
        <w:rPr>
          <w:rFonts w:ascii="Arial" w:hAnsi="Arial" w:cs="Arial"/>
          <w:i/>
          <w:sz w:val="16"/>
          <w:szCs w:val="16"/>
        </w:rPr>
        <w:t>Wytycznymi horyzontalnymi</w:t>
      </w:r>
      <w:r>
        <w:rPr>
          <w:rFonts w:ascii="Arial" w:hAnsi="Arial" w:cs="Arial"/>
          <w:sz w:val="16"/>
          <w:szCs w:val="16"/>
        </w:rPr>
        <w:t xml:space="preserve"> i </w:t>
      </w:r>
      <w:r w:rsidRPr="006F60C5">
        <w:rPr>
          <w:rFonts w:ascii="Arial" w:hAnsi="Arial" w:cs="Arial"/>
          <w:i/>
          <w:sz w:val="16"/>
          <w:szCs w:val="16"/>
        </w:rPr>
        <w:t>Wytycznymi programowymi</w:t>
      </w:r>
      <w:r>
        <w:rPr>
          <w:rFonts w:ascii="Arial" w:hAnsi="Arial" w:cs="Arial"/>
          <w:sz w:val="16"/>
          <w:szCs w:val="16"/>
        </w:rPr>
        <w:t>.</w:t>
      </w:r>
    </w:p>
  </w:footnote>
  <w:footnote w:id="21">
    <w:p w:rsidR="00B9162C" w:rsidRPr="008246CF" w:rsidRDefault="00B9162C" w:rsidP="00903FFD">
      <w:pPr>
        <w:pStyle w:val="Tekstprzypisudolnego"/>
        <w:ind w:left="0" w:firstLine="0"/>
        <w:jc w:val="both"/>
        <w:rPr>
          <w:rFonts w:ascii="Arial" w:hAnsi="Arial" w:cs="Arial"/>
          <w:sz w:val="16"/>
          <w:szCs w:val="16"/>
        </w:rPr>
      </w:pPr>
      <w:r w:rsidRPr="009D304E">
        <w:rPr>
          <w:rStyle w:val="Odwoanieprzypisudolnego"/>
          <w:rFonts w:ascii="Arial" w:eastAsiaTheme="majorEastAsia" w:hAnsi="Arial" w:cs="Arial"/>
          <w:sz w:val="18"/>
          <w:szCs w:val="18"/>
        </w:rPr>
        <w:footnoteRef/>
      </w:r>
      <w:r w:rsidRPr="009D304E">
        <w:rPr>
          <w:rFonts w:ascii="Arial" w:hAnsi="Arial" w:cs="Arial"/>
          <w:sz w:val="18"/>
          <w:szCs w:val="18"/>
        </w:rPr>
        <w:t xml:space="preserve"> </w:t>
      </w:r>
      <w:r w:rsidRPr="008246CF">
        <w:rPr>
          <w:rFonts w:ascii="Arial" w:hAnsi="Arial" w:cs="Arial"/>
          <w:sz w:val="16"/>
          <w:szCs w:val="16"/>
        </w:rPr>
        <w:t>Ryzyko należy oceniać z uwzględnieniem np. następujących czynników: wartość zamówienia</w:t>
      </w:r>
      <w:r>
        <w:rPr>
          <w:rFonts w:ascii="Arial" w:hAnsi="Arial" w:cs="Arial"/>
          <w:sz w:val="16"/>
          <w:szCs w:val="16"/>
        </w:rPr>
        <w:t xml:space="preserve"> publicznego</w:t>
      </w:r>
      <w:r w:rsidRPr="008246CF">
        <w:rPr>
          <w:rFonts w:ascii="Arial" w:hAnsi="Arial" w:cs="Arial"/>
          <w:sz w:val="16"/>
          <w:szCs w:val="16"/>
        </w:rPr>
        <w:t>, terminy wynikające z harmonogramu projektu, dostępność potencjalnych oferentów, wykonalność zamówienia</w:t>
      </w:r>
      <w:r>
        <w:rPr>
          <w:rFonts w:ascii="Arial" w:hAnsi="Arial" w:cs="Arial"/>
          <w:sz w:val="16"/>
          <w:szCs w:val="16"/>
        </w:rPr>
        <w:t xml:space="preserve"> publicznego</w:t>
      </w:r>
      <w:r w:rsidRPr="008246CF">
        <w:rPr>
          <w:rFonts w:ascii="Arial" w:hAnsi="Arial" w:cs="Arial"/>
          <w:sz w:val="16"/>
          <w:szCs w:val="16"/>
        </w:rPr>
        <w:t>, poziom skomplikowania przedmiotu zamówienia</w:t>
      </w:r>
      <w:r>
        <w:rPr>
          <w:rFonts w:ascii="Arial" w:hAnsi="Arial" w:cs="Arial"/>
          <w:sz w:val="16"/>
          <w:szCs w:val="16"/>
        </w:rPr>
        <w:t xml:space="preserve"> publicznego</w:t>
      </w:r>
      <w:r w:rsidRPr="008246CF">
        <w:rPr>
          <w:rFonts w:ascii="Arial" w:hAnsi="Arial" w:cs="Arial"/>
          <w:sz w:val="16"/>
          <w:szCs w:val="16"/>
        </w:rPr>
        <w:t>, kwestie logistyczne itp.</w:t>
      </w:r>
    </w:p>
  </w:footnote>
  <w:footnote w:id="22">
    <w:p w:rsidR="00B9162C" w:rsidRPr="008246CF" w:rsidRDefault="00B9162C" w:rsidP="00903FFD">
      <w:pPr>
        <w:pStyle w:val="Tekstprzypisudolnego"/>
        <w:ind w:left="0" w:firstLine="0"/>
        <w:jc w:val="both"/>
        <w:rPr>
          <w:sz w:val="16"/>
          <w:szCs w:val="16"/>
        </w:rPr>
      </w:pPr>
      <w:r w:rsidRPr="003D798B">
        <w:rPr>
          <w:rStyle w:val="Odwoanieprzypisudolnego"/>
          <w:rFonts w:ascii="Arial" w:eastAsiaTheme="majorEastAsia" w:hAnsi="Arial" w:cs="Arial"/>
          <w:sz w:val="18"/>
          <w:szCs w:val="18"/>
        </w:rPr>
        <w:footnoteRef/>
      </w:r>
      <w:r w:rsidRPr="00341CF7">
        <w:rPr>
          <w:sz w:val="18"/>
          <w:szCs w:val="18"/>
        </w:rPr>
        <w:t xml:space="preserve"> </w:t>
      </w:r>
      <w:r w:rsidRPr="008246CF">
        <w:rPr>
          <w:rFonts w:ascii="Arial" w:hAnsi="Arial" w:cs="Arial"/>
          <w:sz w:val="16"/>
          <w:szCs w:val="16"/>
        </w:rPr>
        <w:t>„Centralne zakupy” w rozumieniu niniejszego dokumentu oznaczają zakupy dokonywane na poziomie centralnym przez beneficjenta realizującego projekt przy pomocy jednostek terenowych/lokalnych.</w:t>
      </w:r>
    </w:p>
  </w:footnote>
  <w:footnote w:id="23">
    <w:p w:rsidR="00B9162C" w:rsidRPr="008246CF" w:rsidRDefault="00B9162C" w:rsidP="00903FFD">
      <w:pPr>
        <w:pStyle w:val="Tekstprzypisudolnego"/>
        <w:ind w:left="0" w:firstLine="0"/>
        <w:jc w:val="both"/>
        <w:rPr>
          <w:rFonts w:ascii="Arial" w:hAnsi="Arial" w:cs="Arial"/>
          <w:sz w:val="16"/>
          <w:szCs w:val="16"/>
        </w:rPr>
      </w:pPr>
      <w:r w:rsidRPr="00E46289">
        <w:rPr>
          <w:rStyle w:val="Odwoanieprzypisudolnego"/>
          <w:rFonts w:ascii="Arial" w:hAnsi="Arial" w:cs="Arial"/>
          <w:sz w:val="18"/>
          <w:szCs w:val="18"/>
        </w:rPr>
        <w:footnoteRef/>
      </w:r>
      <w:r w:rsidRPr="008246CF">
        <w:rPr>
          <w:rFonts w:ascii="Arial" w:hAnsi="Arial" w:cs="Arial"/>
          <w:sz w:val="16"/>
          <w:szCs w:val="16"/>
        </w:rPr>
        <w:t xml:space="preserve">Por. </w:t>
      </w:r>
      <w:r w:rsidRPr="00A7227A">
        <w:rPr>
          <w:rFonts w:ascii="Arial" w:hAnsi="Arial" w:cs="Arial"/>
          <w:sz w:val="16"/>
          <w:szCs w:val="16"/>
        </w:rPr>
        <w:t>www.uzp.gov.pl</w:t>
      </w:r>
      <w:r w:rsidRPr="008246CF">
        <w:rPr>
          <w:rFonts w:ascii="Arial" w:hAnsi="Arial" w:cs="Arial"/>
          <w:sz w:val="16"/>
          <w:szCs w:val="16"/>
        </w:rPr>
        <w:t xml:space="preserve">: Opinie prawne dotyczące ustawy </w:t>
      </w:r>
      <w:proofErr w:type="spellStart"/>
      <w:r w:rsidRPr="008246CF">
        <w:rPr>
          <w:rFonts w:ascii="Arial" w:hAnsi="Arial" w:cs="Arial"/>
          <w:sz w:val="16"/>
          <w:szCs w:val="16"/>
        </w:rPr>
        <w:t>Pzp</w:t>
      </w:r>
      <w:proofErr w:type="spellEnd"/>
      <w:r w:rsidRPr="008246CF">
        <w:rPr>
          <w:rFonts w:ascii="Arial" w:hAnsi="Arial" w:cs="Arial"/>
          <w:sz w:val="16"/>
          <w:szCs w:val="16"/>
        </w:rPr>
        <w:t xml:space="preserve"> (</w:t>
      </w:r>
      <w:r w:rsidRPr="008246CF">
        <w:rPr>
          <w:rFonts w:ascii="Arial" w:hAnsi="Arial" w:cs="Arial"/>
          <w:i/>
          <w:sz w:val="16"/>
          <w:szCs w:val="16"/>
        </w:rPr>
        <w:t>Szacowanie wartości i udzielanie zamówień, w tym zamówień objętych projektem współfinansowanym ze środków Unii Europejskiej</w:t>
      </w:r>
      <w:r w:rsidRPr="008246CF">
        <w:rPr>
          <w:rFonts w:ascii="Arial" w:hAnsi="Arial" w:cs="Arial"/>
          <w:sz w:val="16"/>
          <w:szCs w:val="16"/>
        </w:rPr>
        <w:t>).</w:t>
      </w:r>
    </w:p>
  </w:footnote>
  <w:footnote w:id="24">
    <w:p w:rsidR="00B9162C" w:rsidRPr="008246CF" w:rsidRDefault="00B9162C" w:rsidP="00903FFD">
      <w:pPr>
        <w:pStyle w:val="Tekstprzypisudolnego"/>
        <w:ind w:left="0" w:firstLine="0"/>
        <w:jc w:val="both"/>
        <w:rPr>
          <w:rFonts w:ascii="Arial" w:hAnsi="Arial" w:cs="Arial"/>
          <w:sz w:val="16"/>
          <w:szCs w:val="16"/>
        </w:rPr>
      </w:pPr>
      <w:r w:rsidRPr="0078037B">
        <w:rPr>
          <w:rStyle w:val="Odwoanieprzypisudolnego"/>
          <w:rFonts w:ascii="Arial" w:hAnsi="Arial" w:cs="Arial"/>
          <w:sz w:val="18"/>
          <w:szCs w:val="18"/>
        </w:rPr>
        <w:footnoteRef/>
      </w:r>
      <w:r w:rsidRPr="008246CF">
        <w:rPr>
          <w:rFonts w:ascii="Arial" w:hAnsi="Arial" w:cs="Arial"/>
          <w:sz w:val="16"/>
          <w:szCs w:val="16"/>
        </w:rPr>
        <w:t>Należy pamiętać, iż w zależności od zamawianego dobra, pojęcie „rynku” może obejmować zarówno rynek polski, UE jak również rynek EOG.</w:t>
      </w:r>
    </w:p>
  </w:footnote>
  <w:footnote w:id="25">
    <w:p w:rsidR="00B9162C" w:rsidRPr="008246CF" w:rsidRDefault="00B9162C" w:rsidP="00903FFD">
      <w:pPr>
        <w:pStyle w:val="Tekstprzypisudolnego"/>
        <w:ind w:left="0" w:firstLine="0"/>
        <w:jc w:val="both"/>
        <w:rPr>
          <w:rFonts w:ascii="Arial" w:hAnsi="Arial" w:cs="Arial"/>
          <w:sz w:val="16"/>
          <w:szCs w:val="16"/>
        </w:rPr>
      </w:pPr>
      <w:r w:rsidRPr="0078037B">
        <w:rPr>
          <w:rStyle w:val="Odwoanieprzypisudolnego"/>
          <w:rFonts w:ascii="Arial" w:eastAsiaTheme="majorEastAsia" w:hAnsi="Arial" w:cs="Arial"/>
          <w:sz w:val="18"/>
          <w:szCs w:val="18"/>
        </w:rPr>
        <w:footnoteRef/>
      </w:r>
      <w:r w:rsidRPr="0078037B">
        <w:rPr>
          <w:rFonts w:ascii="Arial" w:hAnsi="Arial" w:cs="Arial"/>
          <w:sz w:val="18"/>
          <w:szCs w:val="18"/>
        </w:rPr>
        <w:t xml:space="preserve"> </w:t>
      </w:r>
      <w:r w:rsidRPr="008246CF">
        <w:rPr>
          <w:rFonts w:ascii="Arial" w:hAnsi="Arial" w:cs="Arial"/>
          <w:sz w:val="16"/>
          <w:szCs w:val="16"/>
        </w:rPr>
        <w:t>art. 23 ust. 3 Dyrektywy 2004/18/WE Parlamentu Europejskiego i Rady z dnia 31 marca 2004 r. w sprawie koordynacji procedur udzielania zamówień publicznych na roboty budowlane, dostawy i usługi (Dz.U. L 134 z 30.4.2004, str.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7">
    <w:nsid w:val="06DE20A2"/>
    <w:multiLevelType w:val="hybridMultilevel"/>
    <w:tmpl w:val="2B9C8C46"/>
    <w:lvl w:ilvl="0" w:tplc="046E4D6A">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6A03237"/>
    <w:multiLevelType w:val="hybridMultilevel"/>
    <w:tmpl w:val="16D41DEC"/>
    <w:lvl w:ilvl="0" w:tplc="04150011">
      <w:start w:val="1"/>
      <w:numFmt w:val="decimal"/>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6E344D4"/>
    <w:multiLevelType w:val="hybridMultilevel"/>
    <w:tmpl w:val="60FCFF24"/>
    <w:lvl w:ilvl="0" w:tplc="CDC6B78E">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19C71068"/>
    <w:multiLevelType w:val="hybridMultilevel"/>
    <w:tmpl w:val="D56632E6"/>
    <w:lvl w:ilvl="0" w:tplc="0518AF1A">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EC7C5D"/>
    <w:multiLevelType w:val="hybridMultilevel"/>
    <w:tmpl w:val="907ED75A"/>
    <w:lvl w:ilvl="0" w:tplc="12E66DD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C84DE2"/>
    <w:multiLevelType w:val="hybridMultilevel"/>
    <w:tmpl w:val="1C622244"/>
    <w:lvl w:ilvl="0" w:tplc="0FF0C48A">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1431649"/>
    <w:multiLevelType w:val="hybridMultilevel"/>
    <w:tmpl w:val="22E65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8D6369E"/>
    <w:multiLevelType w:val="singleLevel"/>
    <w:tmpl w:val="DF0ED5EA"/>
    <w:lvl w:ilvl="0">
      <w:start w:val="1"/>
      <w:numFmt w:val="decimal"/>
      <w:lvlText w:val="%1)"/>
      <w:lvlJc w:val="left"/>
      <w:pPr>
        <w:ind w:left="720" w:hanging="360"/>
      </w:pPr>
      <w:rPr>
        <w:rFonts w:hint="default"/>
        <w:b w:val="0"/>
        <w:i w:val="0"/>
        <w:sz w:val="22"/>
        <w:szCs w:val="22"/>
      </w:rPr>
    </w:lvl>
  </w:abstractNum>
  <w:abstractNum w:abstractNumId="51">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3">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2B06F28"/>
    <w:multiLevelType w:val="hybridMultilevel"/>
    <w:tmpl w:val="61E614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53716F"/>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5">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7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D2071AD"/>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C3457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6714C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5">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5701F0F"/>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A975407"/>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23">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0"/>
  </w:num>
  <w:num w:numId="2">
    <w:abstractNumId w:val="65"/>
  </w:num>
  <w:num w:numId="3">
    <w:abstractNumId w:val="110"/>
  </w:num>
  <w:num w:numId="4">
    <w:abstractNumId w:val="107"/>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17"/>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2"/>
  </w:num>
  <w:num w:numId="12">
    <w:abstractNumId w:val="8"/>
  </w:num>
  <w:num w:numId="13">
    <w:abstractNumId w:val="104"/>
  </w:num>
  <w:num w:numId="14">
    <w:abstractNumId w:val="84"/>
  </w:num>
  <w:num w:numId="15">
    <w:abstractNumId w:val="42"/>
  </w:num>
  <w:num w:numId="16">
    <w:abstractNumId w:val="102"/>
  </w:num>
  <w:num w:numId="17">
    <w:abstractNumId w:val="94"/>
  </w:num>
  <w:num w:numId="18">
    <w:abstractNumId w:val="79"/>
  </w:num>
  <w:num w:numId="19">
    <w:abstractNumId w:val="76"/>
  </w:num>
  <w:num w:numId="20">
    <w:abstractNumId w:val="121"/>
  </w:num>
  <w:num w:numId="21">
    <w:abstractNumId w:val="3"/>
  </w:num>
  <w:num w:numId="22">
    <w:abstractNumId w:val="34"/>
  </w:num>
  <w:num w:numId="23">
    <w:abstractNumId w:val="87"/>
  </w:num>
  <w:num w:numId="24">
    <w:abstractNumId w:val="39"/>
  </w:num>
  <w:num w:numId="25">
    <w:abstractNumId w:val="105"/>
  </w:num>
  <w:num w:numId="26">
    <w:abstractNumId w:val="116"/>
  </w:num>
  <w:num w:numId="27">
    <w:abstractNumId w:val="37"/>
  </w:num>
  <w:num w:numId="28">
    <w:abstractNumId w:val="70"/>
  </w:num>
  <w:num w:numId="29">
    <w:abstractNumId w:val="40"/>
  </w:num>
  <w:num w:numId="30">
    <w:abstractNumId w:val="24"/>
  </w:num>
  <w:num w:numId="31">
    <w:abstractNumId w:val="7"/>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99"/>
  </w:num>
  <w:num w:numId="35">
    <w:abstractNumId w:val="58"/>
  </w:num>
  <w:num w:numId="36">
    <w:abstractNumId w:val="64"/>
  </w:num>
  <w:num w:numId="37">
    <w:abstractNumId w:val="82"/>
  </w:num>
  <w:num w:numId="38">
    <w:abstractNumId w:val="77"/>
  </w:num>
  <w:num w:numId="39">
    <w:abstractNumId w:val="49"/>
  </w:num>
  <w:num w:numId="40">
    <w:abstractNumId w:val="91"/>
  </w:num>
  <w:num w:numId="41">
    <w:abstractNumId w:val="22"/>
  </w:num>
  <w:num w:numId="42">
    <w:abstractNumId w:val="62"/>
  </w:num>
  <w:num w:numId="43">
    <w:abstractNumId w:val="38"/>
  </w:num>
  <w:num w:numId="44">
    <w:abstractNumId w:val="97"/>
  </w:num>
  <w:num w:numId="45">
    <w:abstractNumId w:val="114"/>
  </w:num>
  <w:num w:numId="46">
    <w:abstractNumId w:val="109"/>
  </w:num>
  <w:num w:numId="47">
    <w:abstractNumId w:val="63"/>
  </w:num>
  <w:num w:numId="48">
    <w:abstractNumId w:val="20"/>
  </w:num>
  <w:num w:numId="49">
    <w:abstractNumId w:val="4"/>
  </w:num>
  <w:num w:numId="50">
    <w:abstractNumId w:val="89"/>
  </w:num>
  <w:num w:numId="51">
    <w:abstractNumId w:val="31"/>
  </w:num>
  <w:num w:numId="52">
    <w:abstractNumId w:val="115"/>
  </w:num>
  <w:num w:numId="53">
    <w:abstractNumId w:val="21"/>
  </w:num>
  <w:num w:numId="54">
    <w:abstractNumId w:val="51"/>
  </w:num>
  <w:num w:numId="55">
    <w:abstractNumId w:val="15"/>
  </w:num>
  <w:num w:numId="56">
    <w:abstractNumId w:val="41"/>
  </w:num>
  <w:num w:numId="57">
    <w:abstractNumId w:val="72"/>
  </w:num>
  <w:num w:numId="58">
    <w:abstractNumId w:val="120"/>
  </w:num>
  <w:num w:numId="59">
    <w:abstractNumId w:val="48"/>
  </w:num>
  <w:num w:numId="60">
    <w:abstractNumId w:val="5"/>
  </w:num>
  <w:num w:numId="61">
    <w:abstractNumId w:val="123"/>
  </w:num>
  <w:num w:numId="62">
    <w:abstractNumId w:val="26"/>
  </w:num>
  <w:num w:numId="63">
    <w:abstractNumId w:val="80"/>
  </w:num>
  <w:num w:numId="64">
    <w:abstractNumId w:val="74"/>
  </w:num>
  <w:num w:numId="65">
    <w:abstractNumId w:val="29"/>
  </w:num>
  <w:num w:numId="66">
    <w:abstractNumId w:val="118"/>
  </w:num>
  <w:num w:numId="67">
    <w:abstractNumId w:val="106"/>
  </w:num>
  <w:num w:numId="68">
    <w:abstractNumId w:val="2"/>
  </w:num>
  <w:num w:numId="69">
    <w:abstractNumId w:val="111"/>
  </w:num>
  <w:num w:numId="70">
    <w:abstractNumId w:val="32"/>
  </w:num>
  <w:num w:numId="71">
    <w:abstractNumId w:val="69"/>
  </w:num>
  <w:num w:numId="72">
    <w:abstractNumId w:val="68"/>
  </w:num>
  <w:num w:numId="73">
    <w:abstractNumId w:val="113"/>
  </w:num>
  <w:num w:numId="74">
    <w:abstractNumId w:val="23"/>
  </w:num>
  <w:num w:numId="75">
    <w:abstractNumId w:val="19"/>
  </w:num>
  <w:num w:numId="76">
    <w:abstractNumId w:val="25"/>
  </w:num>
  <w:num w:numId="77">
    <w:abstractNumId w:val="71"/>
  </w:num>
  <w:num w:numId="78">
    <w:abstractNumId w:val="96"/>
  </w:num>
  <w:num w:numId="79">
    <w:abstractNumId w:val="46"/>
  </w:num>
  <w:num w:numId="80">
    <w:abstractNumId w:val="11"/>
  </w:num>
  <w:num w:numId="81">
    <w:abstractNumId w:val="43"/>
  </w:num>
  <w:num w:numId="82">
    <w:abstractNumId w:val="78"/>
  </w:num>
  <w:num w:numId="83">
    <w:abstractNumId w:val="53"/>
  </w:num>
  <w:num w:numId="84">
    <w:abstractNumId w:val="16"/>
  </w:num>
  <w:num w:numId="85">
    <w:abstractNumId w:val="33"/>
  </w:num>
  <w:num w:numId="86">
    <w:abstractNumId w:val="83"/>
  </w:num>
  <w:num w:numId="87">
    <w:abstractNumId w:val="14"/>
  </w:num>
  <w:num w:numId="88">
    <w:abstractNumId w:val="88"/>
  </w:num>
  <w:num w:numId="89">
    <w:abstractNumId w:val="101"/>
  </w:num>
  <w:num w:numId="90">
    <w:abstractNumId w:val="81"/>
  </w:num>
  <w:num w:numId="91">
    <w:abstractNumId w:val="119"/>
  </w:num>
  <w:num w:numId="92">
    <w:abstractNumId w:val="93"/>
  </w:num>
  <w:num w:numId="93">
    <w:abstractNumId w:val="54"/>
  </w:num>
  <w:num w:numId="94">
    <w:abstractNumId w:val="18"/>
  </w:num>
  <w:num w:numId="95">
    <w:abstractNumId w:val="57"/>
  </w:num>
  <w:num w:numId="96">
    <w:abstractNumId w:val="85"/>
  </w:num>
  <w:num w:numId="97">
    <w:abstractNumId w:val="73"/>
  </w:num>
  <w:num w:numId="98">
    <w:abstractNumId w:val="0"/>
  </w:num>
  <w:num w:numId="99">
    <w:abstractNumId w:val="28"/>
  </w:num>
  <w:num w:numId="100">
    <w:abstractNumId w:val="56"/>
  </w:num>
  <w:num w:numId="101">
    <w:abstractNumId w:val="55"/>
  </w:num>
  <w:num w:numId="102">
    <w:abstractNumId w:val="110"/>
  </w:num>
  <w:num w:numId="103">
    <w:abstractNumId w:val="110"/>
  </w:num>
  <w:num w:numId="104">
    <w:abstractNumId w:val="110"/>
  </w:num>
  <w:num w:numId="105">
    <w:abstractNumId w:val="10"/>
  </w:num>
  <w:num w:numId="106">
    <w:abstractNumId w:val="110"/>
  </w:num>
  <w:num w:numId="107">
    <w:abstractNumId w:val="45"/>
  </w:num>
  <w:num w:numId="108">
    <w:abstractNumId w:val="36"/>
  </w:num>
  <w:num w:numId="109">
    <w:abstractNumId w:val="47"/>
  </w:num>
  <w:num w:numId="110">
    <w:abstractNumId w:val="27"/>
  </w:num>
  <w:num w:numId="111">
    <w:abstractNumId w:val="1"/>
  </w:num>
  <w:num w:numId="112">
    <w:abstractNumId w:val="9"/>
  </w:num>
  <w:num w:numId="113">
    <w:abstractNumId w:val="108"/>
  </w:num>
  <w:num w:numId="114">
    <w:abstractNumId w:val="100"/>
  </w:num>
  <w:num w:numId="115">
    <w:abstractNumId w:val="61"/>
  </w:num>
  <w:num w:numId="116">
    <w:abstractNumId w:val="44"/>
  </w:num>
  <w:num w:numId="117">
    <w:abstractNumId w:val="6"/>
  </w:num>
  <w:num w:numId="118">
    <w:abstractNumId w:val="59"/>
  </w:num>
  <w:num w:numId="119">
    <w:abstractNumId w:val="30"/>
  </w:num>
  <w:num w:numId="120">
    <w:abstractNumId w:val="122"/>
  </w:num>
  <w:num w:numId="121">
    <w:abstractNumId w:val="67"/>
  </w:num>
  <w:num w:numId="122">
    <w:abstractNumId w:val="12"/>
  </w:num>
  <w:num w:numId="123">
    <w:abstractNumId w:val="13"/>
  </w:num>
  <w:num w:numId="124">
    <w:abstractNumId w:val="98"/>
  </w:num>
  <w:num w:numId="125">
    <w:abstractNumId w:val="52"/>
  </w:num>
  <w:num w:numId="126">
    <w:abstractNumId w:val="75"/>
  </w:num>
  <w:num w:numId="127">
    <w:abstractNumId w:val="86"/>
  </w:num>
  <w:num w:numId="128">
    <w:abstractNumId w:val="3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2"/>
  </w:compat>
  <w:rsids>
    <w:rsidRoot w:val="00BB649A"/>
    <w:rsid w:val="0000063F"/>
    <w:rsid w:val="000014A4"/>
    <w:rsid w:val="000016A6"/>
    <w:rsid w:val="00001873"/>
    <w:rsid w:val="00002167"/>
    <w:rsid w:val="00002598"/>
    <w:rsid w:val="00003683"/>
    <w:rsid w:val="00003731"/>
    <w:rsid w:val="00003E0A"/>
    <w:rsid w:val="00003F5C"/>
    <w:rsid w:val="00005A52"/>
    <w:rsid w:val="000065C1"/>
    <w:rsid w:val="000070D2"/>
    <w:rsid w:val="0000716C"/>
    <w:rsid w:val="000073B8"/>
    <w:rsid w:val="00007CB4"/>
    <w:rsid w:val="00010581"/>
    <w:rsid w:val="00011AF8"/>
    <w:rsid w:val="00011FDB"/>
    <w:rsid w:val="00012B6B"/>
    <w:rsid w:val="00012E85"/>
    <w:rsid w:val="0001346A"/>
    <w:rsid w:val="00013639"/>
    <w:rsid w:val="000145B4"/>
    <w:rsid w:val="00014F16"/>
    <w:rsid w:val="000152DE"/>
    <w:rsid w:val="00020158"/>
    <w:rsid w:val="000201CD"/>
    <w:rsid w:val="00021CD4"/>
    <w:rsid w:val="00022BD8"/>
    <w:rsid w:val="00022C0D"/>
    <w:rsid w:val="0002398A"/>
    <w:rsid w:val="0002408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3E8A"/>
    <w:rsid w:val="00045401"/>
    <w:rsid w:val="000456F0"/>
    <w:rsid w:val="00045D7E"/>
    <w:rsid w:val="0004784F"/>
    <w:rsid w:val="00050247"/>
    <w:rsid w:val="000509B4"/>
    <w:rsid w:val="000521D0"/>
    <w:rsid w:val="000529F6"/>
    <w:rsid w:val="00053156"/>
    <w:rsid w:val="00053198"/>
    <w:rsid w:val="0005470F"/>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E6D"/>
    <w:rsid w:val="0007708D"/>
    <w:rsid w:val="0007766E"/>
    <w:rsid w:val="00077774"/>
    <w:rsid w:val="00077862"/>
    <w:rsid w:val="00080A0C"/>
    <w:rsid w:val="0008106A"/>
    <w:rsid w:val="00081D98"/>
    <w:rsid w:val="00083AA2"/>
    <w:rsid w:val="0008407A"/>
    <w:rsid w:val="0008520B"/>
    <w:rsid w:val="000854EB"/>
    <w:rsid w:val="00085868"/>
    <w:rsid w:val="00086E2C"/>
    <w:rsid w:val="00087209"/>
    <w:rsid w:val="00087B26"/>
    <w:rsid w:val="00090762"/>
    <w:rsid w:val="00090C88"/>
    <w:rsid w:val="00090E32"/>
    <w:rsid w:val="00091A7E"/>
    <w:rsid w:val="00091F70"/>
    <w:rsid w:val="00092351"/>
    <w:rsid w:val="00092D65"/>
    <w:rsid w:val="00094895"/>
    <w:rsid w:val="0009597A"/>
    <w:rsid w:val="0009597E"/>
    <w:rsid w:val="00095A2D"/>
    <w:rsid w:val="00095D7C"/>
    <w:rsid w:val="00096EEF"/>
    <w:rsid w:val="00097B59"/>
    <w:rsid w:val="000A0499"/>
    <w:rsid w:val="000A2712"/>
    <w:rsid w:val="000A2A22"/>
    <w:rsid w:val="000A2EED"/>
    <w:rsid w:val="000A3879"/>
    <w:rsid w:val="000A3D3D"/>
    <w:rsid w:val="000A5790"/>
    <w:rsid w:val="000A6BEF"/>
    <w:rsid w:val="000A70EB"/>
    <w:rsid w:val="000A7900"/>
    <w:rsid w:val="000B0575"/>
    <w:rsid w:val="000B0E38"/>
    <w:rsid w:val="000B12E7"/>
    <w:rsid w:val="000B1361"/>
    <w:rsid w:val="000B3BAE"/>
    <w:rsid w:val="000B4656"/>
    <w:rsid w:val="000B5657"/>
    <w:rsid w:val="000B5768"/>
    <w:rsid w:val="000B5D01"/>
    <w:rsid w:val="000B6928"/>
    <w:rsid w:val="000B6D26"/>
    <w:rsid w:val="000B7397"/>
    <w:rsid w:val="000B768C"/>
    <w:rsid w:val="000C0132"/>
    <w:rsid w:val="000C0EAB"/>
    <w:rsid w:val="000C13DB"/>
    <w:rsid w:val="000C1A98"/>
    <w:rsid w:val="000C2827"/>
    <w:rsid w:val="000C3534"/>
    <w:rsid w:val="000C4F74"/>
    <w:rsid w:val="000C548C"/>
    <w:rsid w:val="000C6255"/>
    <w:rsid w:val="000C689E"/>
    <w:rsid w:val="000C73CA"/>
    <w:rsid w:val="000D0034"/>
    <w:rsid w:val="000D0300"/>
    <w:rsid w:val="000D066D"/>
    <w:rsid w:val="000D08A5"/>
    <w:rsid w:val="000D1C63"/>
    <w:rsid w:val="000D1E84"/>
    <w:rsid w:val="000D309A"/>
    <w:rsid w:val="000D406D"/>
    <w:rsid w:val="000D4B02"/>
    <w:rsid w:val="000D5876"/>
    <w:rsid w:val="000D7515"/>
    <w:rsid w:val="000D7FC0"/>
    <w:rsid w:val="000E0615"/>
    <w:rsid w:val="000E0672"/>
    <w:rsid w:val="000E1269"/>
    <w:rsid w:val="000E1626"/>
    <w:rsid w:val="000E3421"/>
    <w:rsid w:val="000E3AAB"/>
    <w:rsid w:val="000E3FA5"/>
    <w:rsid w:val="000E41DA"/>
    <w:rsid w:val="000E4225"/>
    <w:rsid w:val="000E48AD"/>
    <w:rsid w:val="000E4CE8"/>
    <w:rsid w:val="000E57F6"/>
    <w:rsid w:val="000E5829"/>
    <w:rsid w:val="000E5D72"/>
    <w:rsid w:val="000E5F42"/>
    <w:rsid w:val="000E71DB"/>
    <w:rsid w:val="000E7546"/>
    <w:rsid w:val="000F0A9D"/>
    <w:rsid w:val="000F215F"/>
    <w:rsid w:val="000F289A"/>
    <w:rsid w:val="000F4AF4"/>
    <w:rsid w:val="000F505C"/>
    <w:rsid w:val="000F6033"/>
    <w:rsid w:val="000F634A"/>
    <w:rsid w:val="000F6788"/>
    <w:rsid w:val="000F6F91"/>
    <w:rsid w:val="000F7D49"/>
    <w:rsid w:val="001002AE"/>
    <w:rsid w:val="001008EC"/>
    <w:rsid w:val="00102499"/>
    <w:rsid w:val="00103A27"/>
    <w:rsid w:val="00103AA7"/>
    <w:rsid w:val="00103D76"/>
    <w:rsid w:val="00104230"/>
    <w:rsid w:val="0010462C"/>
    <w:rsid w:val="0010465C"/>
    <w:rsid w:val="00105C17"/>
    <w:rsid w:val="00105D2D"/>
    <w:rsid w:val="001101A3"/>
    <w:rsid w:val="00111628"/>
    <w:rsid w:val="0011522A"/>
    <w:rsid w:val="00116078"/>
    <w:rsid w:val="0011664B"/>
    <w:rsid w:val="001175BA"/>
    <w:rsid w:val="00117841"/>
    <w:rsid w:val="00120A47"/>
    <w:rsid w:val="001227E2"/>
    <w:rsid w:val="00122D3D"/>
    <w:rsid w:val="00124D15"/>
    <w:rsid w:val="00125362"/>
    <w:rsid w:val="001261EB"/>
    <w:rsid w:val="00126CDA"/>
    <w:rsid w:val="00127010"/>
    <w:rsid w:val="001275BF"/>
    <w:rsid w:val="001279E4"/>
    <w:rsid w:val="00130C06"/>
    <w:rsid w:val="0013274B"/>
    <w:rsid w:val="00132869"/>
    <w:rsid w:val="00132BE3"/>
    <w:rsid w:val="00134061"/>
    <w:rsid w:val="0013507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499"/>
    <w:rsid w:val="00156976"/>
    <w:rsid w:val="00156D42"/>
    <w:rsid w:val="00156EDF"/>
    <w:rsid w:val="00157816"/>
    <w:rsid w:val="00157A42"/>
    <w:rsid w:val="001624F5"/>
    <w:rsid w:val="0016338A"/>
    <w:rsid w:val="00163737"/>
    <w:rsid w:val="001654B8"/>
    <w:rsid w:val="001658FB"/>
    <w:rsid w:val="00165BF2"/>
    <w:rsid w:val="00167127"/>
    <w:rsid w:val="001678EF"/>
    <w:rsid w:val="001707F6"/>
    <w:rsid w:val="0017179E"/>
    <w:rsid w:val="00171987"/>
    <w:rsid w:val="00171C7E"/>
    <w:rsid w:val="00172161"/>
    <w:rsid w:val="001723E7"/>
    <w:rsid w:val="001732A9"/>
    <w:rsid w:val="001747C0"/>
    <w:rsid w:val="00175527"/>
    <w:rsid w:val="00176626"/>
    <w:rsid w:val="00176DC9"/>
    <w:rsid w:val="00176E4C"/>
    <w:rsid w:val="00176EE6"/>
    <w:rsid w:val="00176FE7"/>
    <w:rsid w:val="00177350"/>
    <w:rsid w:val="001773D8"/>
    <w:rsid w:val="00181391"/>
    <w:rsid w:val="00181F03"/>
    <w:rsid w:val="0018204E"/>
    <w:rsid w:val="00182454"/>
    <w:rsid w:val="001829DF"/>
    <w:rsid w:val="0018384D"/>
    <w:rsid w:val="00183A6B"/>
    <w:rsid w:val="0018452E"/>
    <w:rsid w:val="00184E6E"/>
    <w:rsid w:val="0018519F"/>
    <w:rsid w:val="001853E1"/>
    <w:rsid w:val="00185B94"/>
    <w:rsid w:val="00187C2C"/>
    <w:rsid w:val="00191704"/>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9BB"/>
    <w:rsid w:val="001A61B7"/>
    <w:rsid w:val="001A6A6C"/>
    <w:rsid w:val="001A714B"/>
    <w:rsid w:val="001B051A"/>
    <w:rsid w:val="001B213A"/>
    <w:rsid w:val="001B2E78"/>
    <w:rsid w:val="001B330C"/>
    <w:rsid w:val="001B345A"/>
    <w:rsid w:val="001B34E4"/>
    <w:rsid w:val="001B5166"/>
    <w:rsid w:val="001B5E60"/>
    <w:rsid w:val="001B5F57"/>
    <w:rsid w:val="001B6400"/>
    <w:rsid w:val="001B7EDD"/>
    <w:rsid w:val="001B7EFE"/>
    <w:rsid w:val="001C0046"/>
    <w:rsid w:val="001C041B"/>
    <w:rsid w:val="001C0494"/>
    <w:rsid w:val="001C052F"/>
    <w:rsid w:val="001C278F"/>
    <w:rsid w:val="001C2814"/>
    <w:rsid w:val="001C3CAC"/>
    <w:rsid w:val="001C4734"/>
    <w:rsid w:val="001C60ED"/>
    <w:rsid w:val="001D0403"/>
    <w:rsid w:val="001D1819"/>
    <w:rsid w:val="001D1B9C"/>
    <w:rsid w:val="001D21C2"/>
    <w:rsid w:val="001D23A5"/>
    <w:rsid w:val="001D2B1F"/>
    <w:rsid w:val="001D5656"/>
    <w:rsid w:val="001D5F3D"/>
    <w:rsid w:val="001D661D"/>
    <w:rsid w:val="001D6B0E"/>
    <w:rsid w:val="001E005E"/>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7A5"/>
    <w:rsid w:val="001F68FA"/>
    <w:rsid w:val="001F7640"/>
    <w:rsid w:val="001F7DCC"/>
    <w:rsid w:val="0020010F"/>
    <w:rsid w:val="00200D32"/>
    <w:rsid w:val="0020122A"/>
    <w:rsid w:val="002021EC"/>
    <w:rsid w:val="00202F2E"/>
    <w:rsid w:val="002041C0"/>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4AA"/>
    <w:rsid w:val="00230FA5"/>
    <w:rsid w:val="00231213"/>
    <w:rsid w:val="00232666"/>
    <w:rsid w:val="00232DB4"/>
    <w:rsid w:val="00233738"/>
    <w:rsid w:val="00233EAE"/>
    <w:rsid w:val="0023410C"/>
    <w:rsid w:val="00234DA2"/>
    <w:rsid w:val="0023639C"/>
    <w:rsid w:val="00236B9B"/>
    <w:rsid w:val="00236BE8"/>
    <w:rsid w:val="00240628"/>
    <w:rsid w:val="00241053"/>
    <w:rsid w:val="00241FEE"/>
    <w:rsid w:val="00243A65"/>
    <w:rsid w:val="002445E8"/>
    <w:rsid w:val="00244ED4"/>
    <w:rsid w:val="00244F9F"/>
    <w:rsid w:val="0024647E"/>
    <w:rsid w:val="00246C96"/>
    <w:rsid w:val="002477FB"/>
    <w:rsid w:val="00250218"/>
    <w:rsid w:val="00250615"/>
    <w:rsid w:val="00250FF7"/>
    <w:rsid w:val="0025142F"/>
    <w:rsid w:val="002520B8"/>
    <w:rsid w:val="00252F32"/>
    <w:rsid w:val="00255346"/>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55F"/>
    <w:rsid w:val="002877CA"/>
    <w:rsid w:val="002914FC"/>
    <w:rsid w:val="00292675"/>
    <w:rsid w:val="00292945"/>
    <w:rsid w:val="00292C6D"/>
    <w:rsid w:val="002947A2"/>
    <w:rsid w:val="00294BC8"/>
    <w:rsid w:val="002960FE"/>
    <w:rsid w:val="002972AE"/>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5156"/>
    <w:rsid w:val="002C5614"/>
    <w:rsid w:val="002C5879"/>
    <w:rsid w:val="002C6384"/>
    <w:rsid w:val="002C6429"/>
    <w:rsid w:val="002C65C8"/>
    <w:rsid w:val="002C6932"/>
    <w:rsid w:val="002C702D"/>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F1571"/>
    <w:rsid w:val="002F1D21"/>
    <w:rsid w:val="002F1E2A"/>
    <w:rsid w:val="002F22B0"/>
    <w:rsid w:val="002F35E3"/>
    <w:rsid w:val="002F4FE0"/>
    <w:rsid w:val="002F5048"/>
    <w:rsid w:val="002F5514"/>
    <w:rsid w:val="002F5C6A"/>
    <w:rsid w:val="002F5F3C"/>
    <w:rsid w:val="002F69E5"/>
    <w:rsid w:val="00300022"/>
    <w:rsid w:val="00300532"/>
    <w:rsid w:val="00300FBE"/>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AD2"/>
    <w:rsid w:val="00315F16"/>
    <w:rsid w:val="003163EC"/>
    <w:rsid w:val="0031738E"/>
    <w:rsid w:val="0032038A"/>
    <w:rsid w:val="003217B9"/>
    <w:rsid w:val="0032220C"/>
    <w:rsid w:val="00322968"/>
    <w:rsid w:val="00326CA3"/>
    <w:rsid w:val="0032747B"/>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721"/>
    <w:rsid w:val="00341F80"/>
    <w:rsid w:val="00342922"/>
    <w:rsid w:val="00342BA6"/>
    <w:rsid w:val="003435B8"/>
    <w:rsid w:val="003438B4"/>
    <w:rsid w:val="00344A80"/>
    <w:rsid w:val="0034559F"/>
    <w:rsid w:val="00345D20"/>
    <w:rsid w:val="003462A3"/>
    <w:rsid w:val="00346593"/>
    <w:rsid w:val="00346E16"/>
    <w:rsid w:val="0034735E"/>
    <w:rsid w:val="00347530"/>
    <w:rsid w:val="003477EE"/>
    <w:rsid w:val="00347890"/>
    <w:rsid w:val="00347ED2"/>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929"/>
    <w:rsid w:val="00386BE7"/>
    <w:rsid w:val="003879C6"/>
    <w:rsid w:val="00387FB3"/>
    <w:rsid w:val="003905CE"/>
    <w:rsid w:val="00392B26"/>
    <w:rsid w:val="0039330F"/>
    <w:rsid w:val="00393783"/>
    <w:rsid w:val="00394A06"/>
    <w:rsid w:val="00394D10"/>
    <w:rsid w:val="003953DC"/>
    <w:rsid w:val="00395F09"/>
    <w:rsid w:val="00396BAB"/>
    <w:rsid w:val="003979F6"/>
    <w:rsid w:val="00397A8E"/>
    <w:rsid w:val="003A22C0"/>
    <w:rsid w:val="003A24D7"/>
    <w:rsid w:val="003A269B"/>
    <w:rsid w:val="003A3290"/>
    <w:rsid w:val="003A3B96"/>
    <w:rsid w:val="003A4381"/>
    <w:rsid w:val="003A57CC"/>
    <w:rsid w:val="003A6511"/>
    <w:rsid w:val="003A68D3"/>
    <w:rsid w:val="003B02A5"/>
    <w:rsid w:val="003B1241"/>
    <w:rsid w:val="003B1A1A"/>
    <w:rsid w:val="003B2F52"/>
    <w:rsid w:val="003B37A2"/>
    <w:rsid w:val="003B39A9"/>
    <w:rsid w:val="003B3A5F"/>
    <w:rsid w:val="003B4005"/>
    <w:rsid w:val="003B45E6"/>
    <w:rsid w:val="003B5914"/>
    <w:rsid w:val="003B6C41"/>
    <w:rsid w:val="003C12C3"/>
    <w:rsid w:val="003C4A9C"/>
    <w:rsid w:val="003C662C"/>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2E32"/>
    <w:rsid w:val="003E3CE4"/>
    <w:rsid w:val="003E422C"/>
    <w:rsid w:val="003E4341"/>
    <w:rsid w:val="003E43E2"/>
    <w:rsid w:val="003E4528"/>
    <w:rsid w:val="003E6528"/>
    <w:rsid w:val="003F082D"/>
    <w:rsid w:val="003F27C2"/>
    <w:rsid w:val="003F35CE"/>
    <w:rsid w:val="003F3B6E"/>
    <w:rsid w:val="003F48FE"/>
    <w:rsid w:val="003F493B"/>
    <w:rsid w:val="003F55CE"/>
    <w:rsid w:val="003F5CBF"/>
    <w:rsid w:val="003F667C"/>
    <w:rsid w:val="00401528"/>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403F"/>
    <w:rsid w:val="00416358"/>
    <w:rsid w:val="00416A9A"/>
    <w:rsid w:val="00416C45"/>
    <w:rsid w:val="0042031F"/>
    <w:rsid w:val="00420972"/>
    <w:rsid w:val="00421A95"/>
    <w:rsid w:val="0042436A"/>
    <w:rsid w:val="0042552C"/>
    <w:rsid w:val="00425717"/>
    <w:rsid w:val="00425C54"/>
    <w:rsid w:val="00427BDC"/>
    <w:rsid w:val="00430733"/>
    <w:rsid w:val="00430898"/>
    <w:rsid w:val="0043262E"/>
    <w:rsid w:val="004326B2"/>
    <w:rsid w:val="00432EFF"/>
    <w:rsid w:val="004332B6"/>
    <w:rsid w:val="004334C5"/>
    <w:rsid w:val="00433807"/>
    <w:rsid w:val="00434037"/>
    <w:rsid w:val="00434606"/>
    <w:rsid w:val="004359A3"/>
    <w:rsid w:val="00435F34"/>
    <w:rsid w:val="004362EC"/>
    <w:rsid w:val="00437088"/>
    <w:rsid w:val="0043774B"/>
    <w:rsid w:val="00437B78"/>
    <w:rsid w:val="00440DCF"/>
    <w:rsid w:val="004416A0"/>
    <w:rsid w:val="004417C3"/>
    <w:rsid w:val="004425CF"/>
    <w:rsid w:val="004430FD"/>
    <w:rsid w:val="00444840"/>
    <w:rsid w:val="0044490D"/>
    <w:rsid w:val="00445172"/>
    <w:rsid w:val="00445249"/>
    <w:rsid w:val="00445481"/>
    <w:rsid w:val="00445897"/>
    <w:rsid w:val="00445DBF"/>
    <w:rsid w:val="0044687A"/>
    <w:rsid w:val="00446DAA"/>
    <w:rsid w:val="00447506"/>
    <w:rsid w:val="004509B6"/>
    <w:rsid w:val="00451F12"/>
    <w:rsid w:val="00453410"/>
    <w:rsid w:val="004538CB"/>
    <w:rsid w:val="0045470F"/>
    <w:rsid w:val="00454ED2"/>
    <w:rsid w:val="00454F4C"/>
    <w:rsid w:val="00454F8A"/>
    <w:rsid w:val="00455FA0"/>
    <w:rsid w:val="00460AF1"/>
    <w:rsid w:val="0046139E"/>
    <w:rsid w:val="00463D32"/>
    <w:rsid w:val="00464F3C"/>
    <w:rsid w:val="00465050"/>
    <w:rsid w:val="004654FE"/>
    <w:rsid w:val="00465913"/>
    <w:rsid w:val="004664B8"/>
    <w:rsid w:val="004667D2"/>
    <w:rsid w:val="00466D6C"/>
    <w:rsid w:val="00466F67"/>
    <w:rsid w:val="0046731A"/>
    <w:rsid w:val="0047002D"/>
    <w:rsid w:val="00470A70"/>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D5F"/>
    <w:rsid w:val="004B2034"/>
    <w:rsid w:val="004B3C6C"/>
    <w:rsid w:val="004B3E3D"/>
    <w:rsid w:val="004B4ED8"/>
    <w:rsid w:val="004B5115"/>
    <w:rsid w:val="004B5E6C"/>
    <w:rsid w:val="004B6B6C"/>
    <w:rsid w:val="004B76FC"/>
    <w:rsid w:val="004B7923"/>
    <w:rsid w:val="004C020F"/>
    <w:rsid w:val="004C1C93"/>
    <w:rsid w:val="004C2474"/>
    <w:rsid w:val="004C27AA"/>
    <w:rsid w:val="004C3F4C"/>
    <w:rsid w:val="004C4D46"/>
    <w:rsid w:val="004C5596"/>
    <w:rsid w:val="004C56FD"/>
    <w:rsid w:val="004C623E"/>
    <w:rsid w:val="004C6619"/>
    <w:rsid w:val="004C6715"/>
    <w:rsid w:val="004C6A44"/>
    <w:rsid w:val="004C7222"/>
    <w:rsid w:val="004C74A4"/>
    <w:rsid w:val="004D04C4"/>
    <w:rsid w:val="004D05D2"/>
    <w:rsid w:val="004D07F4"/>
    <w:rsid w:val="004D0C3C"/>
    <w:rsid w:val="004D33DD"/>
    <w:rsid w:val="004D4641"/>
    <w:rsid w:val="004D5CA1"/>
    <w:rsid w:val="004D5E64"/>
    <w:rsid w:val="004D64BB"/>
    <w:rsid w:val="004D6BB6"/>
    <w:rsid w:val="004D6C22"/>
    <w:rsid w:val="004D74C2"/>
    <w:rsid w:val="004D7D79"/>
    <w:rsid w:val="004E0400"/>
    <w:rsid w:val="004E05DD"/>
    <w:rsid w:val="004E12B0"/>
    <w:rsid w:val="004E2A56"/>
    <w:rsid w:val="004E518B"/>
    <w:rsid w:val="004E5FD5"/>
    <w:rsid w:val="004E6298"/>
    <w:rsid w:val="004E62D9"/>
    <w:rsid w:val="004E6864"/>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5EF9"/>
    <w:rsid w:val="0050673A"/>
    <w:rsid w:val="0050758B"/>
    <w:rsid w:val="00507DF5"/>
    <w:rsid w:val="0051003C"/>
    <w:rsid w:val="00510B88"/>
    <w:rsid w:val="0051208E"/>
    <w:rsid w:val="00512781"/>
    <w:rsid w:val="00513299"/>
    <w:rsid w:val="0051401B"/>
    <w:rsid w:val="00515B32"/>
    <w:rsid w:val="005168B7"/>
    <w:rsid w:val="00517784"/>
    <w:rsid w:val="00517D1B"/>
    <w:rsid w:val="00520A79"/>
    <w:rsid w:val="0052190D"/>
    <w:rsid w:val="00521C36"/>
    <w:rsid w:val="00522049"/>
    <w:rsid w:val="005223A0"/>
    <w:rsid w:val="00522447"/>
    <w:rsid w:val="005224B8"/>
    <w:rsid w:val="005228E9"/>
    <w:rsid w:val="005237DC"/>
    <w:rsid w:val="00523CEB"/>
    <w:rsid w:val="0052414F"/>
    <w:rsid w:val="0052426D"/>
    <w:rsid w:val="0053091E"/>
    <w:rsid w:val="0053099E"/>
    <w:rsid w:val="00531332"/>
    <w:rsid w:val="005319CA"/>
    <w:rsid w:val="00531C2C"/>
    <w:rsid w:val="005321DB"/>
    <w:rsid w:val="00533293"/>
    <w:rsid w:val="00533819"/>
    <w:rsid w:val="00533B80"/>
    <w:rsid w:val="00533D0B"/>
    <w:rsid w:val="00533D3A"/>
    <w:rsid w:val="005344EF"/>
    <w:rsid w:val="00534FD9"/>
    <w:rsid w:val="0053529F"/>
    <w:rsid w:val="005353F1"/>
    <w:rsid w:val="00536A35"/>
    <w:rsid w:val="00537C90"/>
    <w:rsid w:val="00537C95"/>
    <w:rsid w:val="00540B91"/>
    <w:rsid w:val="00540F0E"/>
    <w:rsid w:val="00541B25"/>
    <w:rsid w:val="005420E9"/>
    <w:rsid w:val="00543870"/>
    <w:rsid w:val="00543F33"/>
    <w:rsid w:val="00544529"/>
    <w:rsid w:val="00544ABC"/>
    <w:rsid w:val="0054596B"/>
    <w:rsid w:val="00545C9B"/>
    <w:rsid w:val="00545D61"/>
    <w:rsid w:val="00545F3D"/>
    <w:rsid w:val="005476DC"/>
    <w:rsid w:val="005477DE"/>
    <w:rsid w:val="00550C50"/>
    <w:rsid w:val="00551948"/>
    <w:rsid w:val="005519B1"/>
    <w:rsid w:val="00551C76"/>
    <w:rsid w:val="005529E3"/>
    <w:rsid w:val="00553639"/>
    <w:rsid w:val="00554E0C"/>
    <w:rsid w:val="00556EA6"/>
    <w:rsid w:val="005573BC"/>
    <w:rsid w:val="005611CD"/>
    <w:rsid w:val="005611EC"/>
    <w:rsid w:val="00561624"/>
    <w:rsid w:val="00561753"/>
    <w:rsid w:val="00562AD4"/>
    <w:rsid w:val="00562ECC"/>
    <w:rsid w:val="00563389"/>
    <w:rsid w:val="0056484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67C3"/>
    <w:rsid w:val="00586934"/>
    <w:rsid w:val="00586C58"/>
    <w:rsid w:val="00587EF1"/>
    <w:rsid w:val="00590467"/>
    <w:rsid w:val="00590F25"/>
    <w:rsid w:val="00591009"/>
    <w:rsid w:val="00592A28"/>
    <w:rsid w:val="00593439"/>
    <w:rsid w:val="005977B2"/>
    <w:rsid w:val="005A0649"/>
    <w:rsid w:val="005A0BB2"/>
    <w:rsid w:val="005A0D97"/>
    <w:rsid w:val="005A2B28"/>
    <w:rsid w:val="005A3257"/>
    <w:rsid w:val="005A349B"/>
    <w:rsid w:val="005A3627"/>
    <w:rsid w:val="005A373A"/>
    <w:rsid w:val="005A3997"/>
    <w:rsid w:val="005A3E72"/>
    <w:rsid w:val="005A49DE"/>
    <w:rsid w:val="005A6088"/>
    <w:rsid w:val="005B0F29"/>
    <w:rsid w:val="005B1CB4"/>
    <w:rsid w:val="005B1FD5"/>
    <w:rsid w:val="005B3105"/>
    <w:rsid w:val="005B43E3"/>
    <w:rsid w:val="005B4D37"/>
    <w:rsid w:val="005B528A"/>
    <w:rsid w:val="005B5859"/>
    <w:rsid w:val="005B5CDB"/>
    <w:rsid w:val="005B64BF"/>
    <w:rsid w:val="005B7385"/>
    <w:rsid w:val="005B7B23"/>
    <w:rsid w:val="005C087A"/>
    <w:rsid w:val="005C1479"/>
    <w:rsid w:val="005C1AAC"/>
    <w:rsid w:val="005C28C5"/>
    <w:rsid w:val="005C3D69"/>
    <w:rsid w:val="005C4465"/>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7ED"/>
    <w:rsid w:val="005E3F74"/>
    <w:rsid w:val="005E4B67"/>
    <w:rsid w:val="005E53EF"/>
    <w:rsid w:val="005E55A7"/>
    <w:rsid w:val="005E6DA4"/>
    <w:rsid w:val="005F0287"/>
    <w:rsid w:val="005F04F0"/>
    <w:rsid w:val="005F1158"/>
    <w:rsid w:val="005F1561"/>
    <w:rsid w:val="005F16BC"/>
    <w:rsid w:val="005F3BD6"/>
    <w:rsid w:val="005F4D4A"/>
    <w:rsid w:val="005F50B1"/>
    <w:rsid w:val="005F57D7"/>
    <w:rsid w:val="005F5959"/>
    <w:rsid w:val="005F6620"/>
    <w:rsid w:val="005F71F1"/>
    <w:rsid w:val="005F77F6"/>
    <w:rsid w:val="006000D0"/>
    <w:rsid w:val="006009BD"/>
    <w:rsid w:val="006016E4"/>
    <w:rsid w:val="00603092"/>
    <w:rsid w:val="0060328C"/>
    <w:rsid w:val="00603CF8"/>
    <w:rsid w:val="0060413E"/>
    <w:rsid w:val="006056AC"/>
    <w:rsid w:val="00607056"/>
    <w:rsid w:val="00607A2C"/>
    <w:rsid w:val="006111C6"/>
    <w:rsid w:val="0061122E"/>
    <w:rsid w:val="006112EF"/>
    <w:rsid w:val="006121CB"/>
    <w:rsid w:val="00612300"/>
    <w:rsid w:val="00612801"/>
    <w:rsid w:val="00612E33"/>
    <w:rsid w:val="00613F08"/>
    <w:rsid w:val="00614ECB"/>
    <w:rsid w:val="00615E65"/>
    <w:rsid w:val="00616390"/>
    <w:rsid w:val="00616629"/>
    <w:rsid w:val="00616A7E"/>
    <w:rsid w:val="00617929"/>
    <w:rsid w:val="00620109"/>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506B"/>
    <w:rsid w:val="0063582E"/>
    <w:rsid w:val="006358A8"/>
    <w:rsid w:val="00635D0E"/>
    <w:rsid w:val="006377A0"/>
    <w:rsid w:val="00637A64"/>
    <w:rsid w:val="00637BD0"/>
    <w:rsid w:val="00640E59"/>
    <w:rsid w:val="0064174E"/>
    <w:rsid w:val="006420B6"/>
    <w:rsid w:val="006423EA"/>
    <w:rsid w:val="006426A5"/>
    <w:rsid w:val="006430B5"/>
    <w:rsid w:val="00643EEC"/>
    <w:rsid w:val="006440A7"/>
    <w:rsid w:val="00645B90"/>
    <w:rsid w:val="00646752"/>
    <w:rsid w:val="00647629"/>
    <w:rsid w:val="00650012"/>
    <w:rsid w:val="006502E8"/>
    <w:rsid w:val="00652CEA"/>
    <w:rsid w:val="006550EE"/>
    <w:rsid w:val="006555D3"/>
    <w:rsid w:val="006572E6"/>
    <w:rsid w:val="00657432"/>
    <w:rsid w:val="00657D62"/>
    <w:rsid w:val="00657D82"/>
    <w:rsid w:val="00660646"/>
    <w:rsid w:val="00660ECC"/>
    <w:rsid w:val="00661F8E"/>
    <w:rsid w:val="006621E5"/>
    <w:rsid w:val="006622A9"/>
    <w:rsid w:val="00662715"/>
    <w:rsid w:val="0066313B"/>
    <w:rsid w:val="00663591"/>
    <w:rsid w:val="00663AF3"/>
    <w:rsid w:val="00663DE8"/>
    <w:rsid w:val="00664849"/>
    <w:rsid w:val="00665F9F"/>
    <w:rsid w:val="00667AAB"/>
    <w:rsid w:val="0067132C"/>
    <w:rsid w:val="00671489"/>
    <w:rsid w:val="00671B7F"/>
    <w:rsid w:val="00672DC3"/>
    <w:rsid w:val="00673AE1"/>
    <w:rsid w:val="00673C1E"/>
    <w:rsid w:val="0067404C"/>
    <w:rsid w:val="0067418A"/>
    <w:rsid w:val="00674BCA"/>
    <w:rsid w:val="00674E56"/>
    <w:rsid w:val="00675388"/>
    <w:rsid w:val="006753DD"/>
    <w:rsid w:val="0067587C"/>
    <w:rsid w:val="00675DB0"/>
    <w:rsid w:val="0067779E"/>
    <w:rsid w:val="00680917"/>
    <w:rsid w:val="00681087"/>
    <w:rsid w:val="00681D8A"/>
    <w:rsid w:val="006823D7"/>
    <w:rsid w:val="00683A8E"/>
    <w:rsid w:val="00683B4F"/>
    <w:rsid w:val="00684302"/>
    <w:rsid w:val="00684817"/>
    <w:rsid w:val="00684D2A"/>
    <w:rsid w:val="006854B8"/>
    <w:rsid w:val="00685EC6"/>
    <w:rsid w:val="00686078"/>
    <w:rsid w:val="00686443"/>
    <w:rsid w:val="00686EA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CE6"/>
    <w:rsid w:val="006A305E"/>
    <w:rsid w:val="006A31C4"/>
    <w:rsid w:val="006A35D5"/>
    <w:rsid w:val="006A566B"/>
    <w:rsid w:val="006A5F7B"/>
    <w:rsid w:val="006A626A"/>
    <w:rsid w:val="006A7402"/>
    <w:rsid w:val="006A7E80"/>
    <w:rsid w:val="006B1251"/>
    <w:rsid w:val="006B20FA"/>
    <w:rsid w:val="006B21E0"/>
    <w:rsid w:val="006B372C"/>
    <w:rsid w:val="006B49F8"/>
    <w:rsid w:val="006B5BDE"/>
    <w:rsid w:val="006B6DD7"/>
    <w:rsid w:val="006B720A"/>
    <w:rsid w:val="006B7BB9"/>
    <w:rsid w:val="006C0D6A"/>
    <w:rsid w:val="006C0F55"/>
    <w:rsid w:val="006C1F29"/>
    <w:rsid w:val="006C1F92"/>
    <w:rsid w:val="006C29BC"/>
    <w:rsid w:val="006C40AF"/>
    <w:rsid w:val="006C560E"/>
    <w:rsid w:val="006C586B"/>
    <w:rsid w:val="006C68DF"/>
    <w:rsid w:val="006D0337"/>
    <w:rsid w:val="006D0485"/>
    <w:rsid w:val="006D0A51"/>
    <w:rsid w:val="006D0BA2"/>
    <w:rsid w:val="006D0D02"/>
    <w:rsid w:val="006D0F02"/>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8C8"/>
    <w:rsid w:val="006F1CAC"/>
    <w:rsid w:val="006F3069"/>
    <w:rsid w:val="006F58D2"/>
    <w:rsid w:val="006F60C5"/>
    <w:rsid w:val="006F6150"/>
    <w:rsid w:val="006F676B"/>
    <w:rsid w:val="006F6C0E"/>
    <w:rsid w:val="006F73F0"/>
    <w:rsid w:val="007005C1"/>
    <w:rsid w:val="00700782"/>
    <w:rsid w:val="00701653"/>
    <w:rsid w:val="00701B4A"/>
    <w:rsid w:val="007022B4"/>
    <w:rsid w:val="007023AA"/>
    <w:rsid w:val="007023C1"/>
    <w:rsid w:val="007027B1"/>
    <w:rsid w:val="007032A3"/>
    <w:rsid w:val="0070440E"/>
    <w:rsid w:val="00704E3A"/>
    <w:rsid w:val="00706043"/>
    <w:rsid w:val="00706107"/>
    <w:rsid w:val="007075B6"/>
    <w:rsid w:val="00707D92"/>
    <w:rsid w:val="00707DFF"/>
    <w:rsid w:val="00710FCA"/>
    <w:rsid w:val="00711909"/>
    <w:rsid w:val="00711BFC"/>
    <w:rsid w:val="0071356B"/>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6B21"/>
    <w:rsid w:val="00726C7A"/>
    <w:rsid w:val="007317B3"/>
    <w:rsid w:val="00731E46"/>
    <w:rsid w:val="00731FAC"/>
    <w:rsid w:val="00732114"/>
    <w:rsid w:val="00732F27"/>
    <w:rsid w:val="0073329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7310"/>
    <w:rsid w:val="00747696"/>
    <w:rsid w:val="0075001C"/>
    <w:rsid w:val="00752051"/>
    <w:rsid w:val="00752484"/>
    <w:rsid w:val="00752D90"/>
    <w:rsid w:val="00753271"/>
    <w:rsid w:val="00753E41"/>
    <w:rsid w:val="007548E0"/>
    <w:rsid w:val="00754A91"/>
    <w:rsid w:val="00754C5A"/>
    <w:rsid w:val="00755982"/>
    <w:rsid w:val="0075727D"/>
    <w:rsid w:val="00760ED7"/>
    <w:rsid w:val="00761B36"/>
    <w:rsid w:val="00761D8B"/>
    <w:rsid w:val="0076246C"/>
    <w:rsid w:val="007626FB"/>
    <w:rsid w:val="00764FE1"/>
    <w:rsid w:val="007657CA"/>
    <w:rsid w:val="00765DC7"/>
    <w:rsid w:val="00767C5A"/>
    <w:rsid w:val="007711E2"/>
    <w:rsid w:val="00771F97"/>
    <w:rsid w:val="007726E4"/>
    <w:rsid w:val="00772E65"/>
    <w:rsid w:val="00772F3A"/>
    <w:rsid w:val="007737D7"/>
    <w:rsid w:val="00773B8C"/>
    <w:rsid w:val="00775DBE"/>
    <w:rsid w:val="00775ECE"/>
    <w:rsid w:val="007763A9"/>
    <w:rsid w:val="00776635"/>
    <w:rsid w:val="007768D1"/>
    <w:rsid w:val="00776C73"/>
    <w:rsid w:val="00777453"/>
    <w:rsid w:val="00781AC3"/>
    <w:rsid w:val="00781CF9"/>
    <w:rsid w:val="007820F2"/>
    <w:rsid w:val="007821AD"/>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BF2"/>
    <w:rsid w:val="0079783A"/>
    <w:rsid w:val="00797E3D"/>
    <w:rsid w:val="007A173A"/>
    <w:rsid w:val="007A31CD"/>
    <w:rsid w:val="007A3744"/>
    <w:rsid w:val="007A48D6"/>
    <w:rsid w:val="007A4971"/>
    <w:rsid w:val="007A523D"/>
    <w:rsid w:val="007A548E"/>
    <w:rsid w:val="007A7104"/>
    <w:rsid w:val="007A7658"/>
    <w:rsid w:val="007A7DA4"/>
    <w:rsid w:val="007B14C0"/>
    <w:rsid w:val="007B1575"/>
    <w:rsid w:val="007B1CD7"/>
    <w:rsid w:val="007B2578"/>
    <w:rsid w:val="007B2AA6"/>
    <w:rsid w:val="007B2B6F"/>
    <w:rsid w:val="007B309E"/>
    <w:rsid w:val="007B34B6"/>
    <w:rsid w:val="007B4BB6"/>
    <w:rsid w:val="007B5C00"/>
    <w:rsid w:val="007B7854"/>
    <w:rsid w:val="007C0E43"/>
    <w:rsid w:val="007C291C"/>
    <w:rsid w:val="007C3F3D"/>
    <w:rsid w:val="007C48BE"/>
    <w:rsid w:val="007C52E9"/>
    <w:rsid w:val="007C557A"/>
    <w:rsid w:val="007C6BE0"/>
    <w:rsid w:val="007C6CD6"/>
    <w:rsid w:val="007C710C"/>
    <w:rsid w:val="007C778E"/>
    <w:rsid w:val="007C7B07"/>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DE4"/>
    <w:rsid w:val="007E304E"/>
    <w:rsid w:val="007E338C"/>
    <w:rsid w:val="007E41C5"/>
    <w:rsid w:val="007E4306"/>
    <w:rsid w:val="007E469E"/>
    <w:rsid w:val="007E4C06"/>
    <w:rsid w:val="007E4C40"/>
    <w:rsid w:val="007E5406"/>
    <w:rsid w:val="007E5736"/>
    <w:rsid w:val="007E678F"/>
    <w:rsid w:val="007E68AA"/>
    <w:rsid w:val="007E7165"/>
    <w:rsid w:val="007E7B82"/>
    <w:rsid w:val="007F0564"/>
    <w:rsid w:val="007F2268"/>
    <w:rsid w:val="007F3024"/>
    <w:rsid w:val="007F31A0"/>
    <w:rsid w:val="007F324B"/>
    <w:rsid w:val="007F3679"/>
    <w:rsid w:val="007F3783"/>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7B"/>
    <w:rsid w:val="00821EDF"/>
    <w:rsid w:val="00822844"/>
    <w:rsid w:val="00823289"/>
    <w:rsid w:val="00823E97"/>
    <w:rsid w:val="008242CF"/>
    <w:rsid w:val="00824554"/>
    <w:rsid w:val="008246CF"/>
    <w:rsid w:val="008249E5"/>
    <w:rsid w:val="00824D6F"/>
    <w:rsid w:val="008251F3"/>
    <w:rsid w:val="00825A85"/>
    <w:rsid w:val="0082611A"/>
    <w:rsid w:val="008272D8"/>
    <w:rsid w:val="0083030E"/>
    <w:rsid w:val="008310FB"/>
    <w:rsid w:val="0083127D"/>
    <w:rsid w:val="008318CC"/>
    <w:rsid w:val="00832E97"/>
    <w:rsid w:val="00833216"/>
    <w:rsid w:val="008336BD"/>
    <w:rsid w:val="00833A56"/>
    <w:rsid w:val="00833E80"/>
    <w:rsid w:val="00836009"/>
    <w:rsid w:val="00836AAF"/>
    <w:rsid w:val="008371B2"/>
    <w:rsid w:val="00837B79"/>
    <w:rsid w:val="00837C9D"/>
    <w:rsid w:val="00837D00"/>
    <w:rsid w:val="0084017C"/>
    <w:rsid w:val="008412DA"/>
    <w:rsid w:val="00842FFD"/>
    <w:rsid w:val="008432BC"/>
    <w:rsid w:val="00843429"/>
    <w:rsid w:val="008434A1"/>
    <w:rsid w:val="00843986"/>
    <w:rsid w:val="008439EE"/>
    <w:rsid w:val="00843BE2"/>
    <w:rsid w:val="00843FD5"/>
    <w:rsid w:val="00843FEA"/>
    <w:rsid w:val="00844067"/>
    <w:rsid w:val="00844BB3"/>
    <w:rsid w:val="00845064"/>
    <w:rsid w:val="00845218"/>
    <w:rsid w:val="008455ED"/>
    <w:rsid w:val="008472C5"/>
    <w:rsid w:val="00847CED"/>
    <w:rsid w:val="00850267"/>
    <w:rsid w:val="00850420"/>
    <w:rsid w:val="008507A6"/>
    <w:rsid w:val="00850C78"/>
    <w:rsid w:val="00851FE5"/>
    <w:rsid w:val="008523A3"/>
    <w:rsid w:val="008529A5"/>
    <w:rsid w:val="00853DF2"/>
    <w:rsid w:val="008542F1"/>
    <w:rsid w:val="00855027"/>
    <w:rsid w:val="00856390"/>
    <w:rsid w:val="008564D5"/>
    <w:rsid w:val="0085718F"/>
    <w:rsid w:val="00857E25"/>
    <w:rsid w:val="00860A90"/>
    <w:rsid w:val="008628B6"/>
    <w:rsid w:val="00862A3F"/>
    <w:rsid w:val="008630DD"/>
    <w:rsid w:val="0086362C"/>
    <w:rsid w:val="00863E03"/>
    <w:rsid w:val="00864564"/>
    <w:rsid w:val="00865911"/>
    <w:rsid w:val="00866EDB"/>
    <w:rsid w:val="00867894"/>
    <w:rsid w:val="0087107E"/>
    <w:rsid w:val="008717A2"/>
    <w:rsid w:val="00871D76"/>
    <w:rsid w:val="00872365"/>
    <w:rsid w:val="00872A8B"/>
    <w:rsid w:val="0087354D"/>
    <w:rsid w:val="00873EC1"/>
    <w:rsid w:val="008768A5"/>
    <w:rsid w:val="00877F69"/>
    <w:rsid w:val="008808EF"/>
    <w:rsid w:val="008825D4"/>
    <w:rsid w:val="00883099"/>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CD9"/>
    <w:rsid w:val="008A3CBE"/>
    <w:rsid w:val="008A451F"/>
    <w:rsid w:val="008A467D"/>
    <w:rsid w:val="008A5E3D"/>
    <w:rsid w:val="008A62BA"/>
    <w:rsid w:val="008A69F7"/>
    <w:rsid w:val="008A74B4"/>
    <w:rsid w:val="008B010B"/>
    <w:rsid w:val="008B0389"/>
    <w:rsid w:val="008B1037"/>
    <w:rsid w:val="008B1747"/>
    <w:rsid w:val="008B185E"/>
    <w:rsid w:val="008B36AC"/>
    <w:rsid w:val="008B4A24"/>
    <w:rsid w:val="008B4C44"/>
    <w:rsid w:val="008B5852"/>
    <w:rsid w:val="008B5BA3"/>
    <w:rsid w:val="008B60BF"/>
    <w:rsid w:val="008B6F60"/>
    <w:rsid w:val="008C0F3D"/>
    <w:rsid w:val="008C2856"/>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36C8"/>
    <w:rsid w:val="008D3E9B"/>
    <w:rsid w:val="008D3EB2"/>
    <w:rsid w:val="008D3EC8"/>
    <w:rsid w:val="008D4965"/>
    <w:rsid w:val="008D62A2"/>
    <w:rsid w:val="008E0D33"/>
    <w:rsid w:val="008E1144"/>
    <w:rsid w:val="008E14C5"/>
    <w:rsid w:val="008E2620"/>
    <w:rsid w:val="008E284D"/>
    <w:rsid w:val="008E32BD"/>
    <w:rsid w:val="008E35A2"/>
    <w:rsid w:val="008E3DD4"/>
    <w:rsid w:val="008E41CC"/>
    <w:rsid w:val="008E4288"/>
    <w:rsid w:val="008E473B"/>
    <w:rsid w:val="008E50AF"/>
    <w:rsid w:val="008E6316"/>
    <w:rsid w:val="008E6445"/>
    <w:rsid w:val="008E6465"/>
    <w:rsid w:val="008E66D4"/>
    <w:rsid w:val="008F0E09"/>
    <w:rsid w:val="008F2119"/>
    <w:rsid w:val="008F2862"/>
    <w:rsid w:val="008F3C6D"/>
    <w:rsid w:val="008F3F77"/>
    <w:rsid w:val="008F40B9"/>
    <w:rsid w:val="008F4615"/>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C5A"/>
    <w:rsid w:val="0091013E"/>
    <w:rsid w:val="009106B7"/>
    <w:rsid w:val="00910ED9"/>
    <w:rsid w:val="00911686"/>
    <w:rsid w:val="00911B95"/>
    <w:rsid w:val="00912CD0"/>
    <w:rsid w:val="009131EA"/>
    <w:rsid w:val="00914E1F"/>
    <w:rsid w:val="00914E6F"/>
    <w:rsid w:val="009159EF"/>
    <w:rsid w:val="00915E0C"/>
    <w:rsid w:val="0091631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ECD"/>
    <w:rsid w:val="00951358"/>
    <w:rsid w:val="00951641"/>
    <w:rsid w:val="00951EBE"/>
    <w:rsid w:val="00953EBB"/>
    <w:rsid w:val="00954209"/>
    <w:rsid w:val="0095420F"/>
    <w:rsid w:val="00955B08"/>
    <w:rsid w:val="00955F61"/>
    <w:rsid w:val="009568F8"/>
    <w:rsid w:val="00956CD8"/>
    <w:rsid w:val="00957F38"/>
    <w:rsid w:val="00960778"/>
    <w:rsid w:val="009611E3"/>
    <w:rsid w:val="00961AFC"/>
    <w:rsid w:val="009627C0"/>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286"/>
    <w:rsid w:val="00981301"/>
    <w:rsid w:val="00981ADE"/>
    <w:rsid w:val="00982440"/>
    <w:rsid w:val="009828E4"/>
    <w:rsid w:val="009829C6"/>
    <w:rsid w:val="0098338F"/>
    <w:rsid w:val="00983714"/>
    <w:rsid w:val="00984E88"/>
    <w:rsid w:val="00985101"/>
    <w:rsid w:val="00985AA7"/>
    <w:rsid w:val="009867E6"/>
    <w:rsid w:val="00990900"/>
    <w:rsid w:val="00990949"/>
    <w:rsid w:val="00991D21"/>
    <w:rsid w:val="009921E6"/>
    <w:rsid w:val="0099260A"/>
    <w:rsid w:val="009929E6"/>
    <w:rsid w:val="009930A0"/>
    <w:rsid w:val="00993C18"/>
    <w:rsid w:val="0099526D"/>
    <w:rsid w:val="00996453"/>
    <w:rsid w:val="00996BE7"/>
    <w:rsid w:val="00996CB3"/>
    <w:rsid w:val="00996F75"/>
    <w:rsid w:val="0099706A"/>
    <w:rsid w:val="00997B8B"/>
    <w:rsid w:val="009A05BD"/>
    <w:rsid w:val="009A0B6E"/>
    <w:rsid w:val="009A26C3"/>
    <w:rsid w:val="009A2C6B"/>
    <w:rsid w:val="009A30A0"/>
    <w:rsid w:val="009A31FF"/>
    <w:rsid w:val="009A373C"/>
    <w:rsid w:val="009A37FB"/>
    <w:rsid w:val="009A3B81"/>
    <w:rsid w:val="009A3DCE"/>
    <w:rsid w:val="009A3F8A"/>
    <w:rsid w:val="009A4A7B"/>
    <w:rsid w:val="009A4A81"/>
    <w:rsid w:val="009A5565"/>
    <w:rsid w:val="009A7563"/>
    <w:rsid w:val="009A781F"/>
    <w:rsid w:val="009B0F8E"/>
    <w:rsid w:val="009B1BD7"/>
    <w:rsid w:val="009B2083"/>
    <w:rsid w:val="009B2165"/>
    <w:rsid w:val="009B2B66"/>
    <w:rsid w:val="009B2F58"/>
    <w:rsid w:val="009B3502"/>
    <w:rsid w:val="009B4F0E"/>
    <w:rsid w:val="009B5B78"/>
    <w:rsid w:val="009B6440"/>
    <w:rsid w:val="009B65A2"/>
    <w:rsid w:val="009B7FF4"/>
    <w:rsid w:val="009C04CD"/>
    <w:rsid w:val="009C1841"/>
    <w:rsid w:val="009C3A3A"/>
    <w:rsid w:val="009C411B"/>
    <w:rsid w:val="009C432F"/>
    <w:rsid w:val="009C4CCC"/>
    <w:rsid w:val="009C4F73"/>
    <w:rsid w:val="009C4FF9"/>
    <w:rsid w:val="009C60C6"/>
    <w:rsid w:val="009C6A2B"/>
    <w:rsid w:val="009D0504"/>
    <w:rsid w:val="009D060F"/>
    <w:rsid w:val="009D106A"/>
    <w:rsid w:val="009D1757"/>
    <w:rsid w:val="009D3472"/>
    <w:rsid w:val="009D3646"/>
    <w:rsid w:val="009D436C"/>
    <w:rsid w:val="009D445F"/>
    <w:rsid w:val="009D506A"/>
    <w:rsid w:val="009D7053"/>
    <w:rsid w:val="009E01BB"/>
    <w:rsid w:val="009E0804"/>
    <w:rsid w:val="009E2BB3"/>
    <w:rsid w:val="009E4E0D"/>
    <w:rsid w:val="009E54D8"/>
    <w:rsid w:val="009E55CD"/>
    <w:rsid w:val="009E6BEC"/>
    <w:rsid w:val="009E6E9E"/>
    <w:rsid w:val="009E7E72"/>
    <w:rsid w:val="009F04C7"/>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AEA"/>
    <w:rsid w:val="00A120B0"/>
    <w:rsid w:val="00A12481"/>
    <w:rsid w:val="00A129B5"/>
    <w:rsid w:val="00A12E38"/>
    <w:rsid w:val="00A13938"/>
    <w:rsid w:val="00A13BD2"/>
    <w:rsid w:val="00A15602"/>
    <w:rsid w:val="00A159F0"/>
    <w:rsid w:val="00A15BDA"/>
    <w:rsid w:val="00A15E85"/>
    <w:rsid w:val="00A16228"/>
    <w:rsid w:val="00A1759B"/>
    <w:rsid w:val="00A17BDA"/>
    <w:rsid w:val="00A208B0"/>
    <w:rsid w:val="00A22592"/>
    <w:rsid w:val="00A22FEB"/>
    <w:rsid w:val="00A23C4B"/>
    <w:rsid w:val="00A242C6"/>
    <w:rsid w:val="00A244E9"/>
    <w:rsid w:val="00A265AD"/>
    <w:rsid w:val="00A2693A"/>
    <w:rsid w:val="00A27606"/>
    <w:rsid w:val="00A303DF"/>
    <w:rsid w:val="00A324AC"/>
    <w:rsid w:val="00A327D4"/>
    <w:rsid w:val="00A338E8"/>
    <w:rsid w:val="00A341C2"/>
    <w:rsid w:val="00A34C99"/>
    <w:rsid w:val="00A35C47"/>
    <w:rsid w:val="00A40CD1"/>
    <w:rsid w:val="00A40E33"/>
    <w:rsid w:val="00A415C3"/>
    <w:rsid w:val="00A423E6"/>
    <w:rsid w:val="00A42593"/>
    <w:rsid w:val="00A42F8B"/>
    <w:rsid w:val="00A453AA"/>
    <w:rsid w:val="00A46441"/>
    <w:rsid w:val="00A50440"/>
    <w:rsid w:val="00A5133D"/>
    <w:rsid w:val="00A5183F"/>
    <w:rsid w:val="00A51E38"/>
    <w:rsid w:val="00A555CE"/>
    <w:rsid w:val="00A55CF2"/>
    <w:rsid w:val="00A55FB8"/>
    <w:rsid w:val="00A5669F"/>
    <w:rsid w:val="00A56A08"/>
    <w:rsid w:val="00A577B3"/>
    <w:rsid w:val="00A57EE2"/>
    <w:rsid w:val="00A623A1"/>
    <w:rsid w:val="00A644A7"/>
    <w:rsid w:val="00A64D34"/>
    <w:rsid w:val="00A65C92"/>
    <w:rsid w:val="00A66503"/>
    <w:rsid w:val="00A665FA"/>
    <w:rsid w:val="00A6757F"/>
    <w:rsid w:val="00A70C6F"/>
    <w:rsid w:val="00A7124A"/>
    <w:rsid w:val="00A71256"/>
    <w:rsid w:val="00A7227A"/>
    <w:rsid w:val="00A7373A"/>
    <w:rsid w:val="00A74492"/>
    <w:rsid w:val="00A7452F"/>
    <w:rsid w:val="00A75577"/>
    <w:rsid w:val="00A75B72"/>
    <w:rsid w:val="00A762AA"/>
    <w:rsid w:val="00A764F2"/>
    <w:rsid w:val="00A80B06"/>
    <w:rsid w:val="00A80E1D"/>
    <w:rsid w:val="00A81271"/>
    <w:rsid w:val="00A81790"/>
    <w:rsid w:val="00A82255"/>
    <w:rsid w:val="00A827B8"/>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9A5"/>
    <w:rsid w:val="00A96DAD"/>
    <w:rsid w:val="00A97424"/>
    <w:rsid w:val="00A97770"/>
    <w:rsid w:val="00A97B6B"/>
    <w:rsid w:val="00AA038F"/>
    <w:rsid w:val="00AA05B0"/>
    <w:rsid w:val="00AA0C5D"/>
    <w:rsid w:val="00AA0D56"/>
    <w:rsid w:val="00AA1145"/>
    <w:rsid w:val="00AA145E"/>
    <w:rsid w:val="00AA19D9"/>
    <w:rsid w:val="00AA1C40"/>
    <w:rsid w:val="00AA1C8A"/>
    <w:rsid w:val="00AA2C8A"/>
    <w:rsid w:val="00AA40E5"/>
    <w:rsid w:val="00AA41C9"/>
    <w:rsid w:val="00AA502A"/>
    <w:rsid w:val="00AA5990"/>
    <w:rsid w:val="00AA5CA4"/>
    <w:rsid w:val="00AA5D96"/>
    <w:rsid w:val="00AA774A"/>
    <w:rsid w:val="00AA7F64"/>
    <w:rsid w:val="00AB16A1"/>
    <w:rsid w:val="00AB17BC"/>
    <w:rsid w:val="00AB1BBD"/>
    <w:rsid w:val="00AB270B"/>
    <w:rsid w:val="00AB3610"/>
    <w:rsid w:val="00AB4E44"/>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5F52"/>
    <w:rsid w:val="00AC6B50"/>
    <w:rsid w:val="00AC6B8C"/>
    <w:rsid w:val="00AC7A0C"/>
    <w:rsid w:val="00AC7D5A"/>
    <w:rsid w:val="00AC7ED8"/>
    <w:rsid w:val="00AD0828"/>
    <w:rsid w:val="00AD1191"/>
    <w:rsid w:val="00AD16DB"/>
    <w:rsid w:val="00AD289A"/>
    <w:rsid w:val="00AD29DB"/>
    <w:rsid w:val="00AD2C30"/>
    <w:rsid w:val="00AD2FC1"/>
    <w:rsid w:val="00AD39DB"/>
    <w:rsid w:val="00AD4367"/>
    <w:rsid w:val="00AD4B0A"/>
    <w:rsid w:val="00AD4BD9"/>
    <w:rsid w:val="00AD5069"/>
    <w:rsid w:val="00AD6BEF"/>
    <w:rsid w:val="00AD6F14"/>
    <w:rsid w:val="00AD7695"/>
    <w:rsid w:val="00AE000E"/>
    <w:rsid w:val="00AE0290"/>
    <w:rsid w:val="00AE03CC"/>
    <w:rsid w:val="00AE0B7E"/>
    <w:rsid w:val="00AE0DF0"/>
    <w:rsid w:val="00AE18B5"/>
    <w:rsid w:val="00AE1B92"/>
    <w:rsid w:val="00AE276F"/>
    <w:rsid w:val="00AE367A"/>
    <w:rsid w:val="00AE3847"/>
    <w:rsid w:val="00AE4553"/>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6589"/>
    <w:rsid w:val="00B10531"/>
    <w:rsid w:val="00B107B6"/>
    <w:rsid w:val="00B10CE1"/>
    <w:rsid w:val="00B1132E"/>
    <w:rsid w:val="00B116A9"/>
    <w:rsid w:val="00B126CF"/>
    <w:rsid w:val="00B1308B"/>
    <w:rsid w:val="00B1311E"/>
    <w:rsid w:val="00B142DE"/>
    <w:rsid w:val="00B14D05"/>
    <w:rsid w:val="00B156D9"/>
    <w:rsid w:val="00B17419"/>
    <w:rsid w:val="00B176BD"/>
    <w:rsid w:val="00B1775E"/>
    <w:rsid w:val="00B20486"/>
    <w:rsid w:val="00B21BAE"/>
    <w:rsid w:val="00B23AE2"/>
    <w:rsid w:val="00B23AF1"/>
    <w:rsid w:val="00B2526D"/>
    <w:rsid w:val="00B27B20"/>
    <w:rsid w:val="00B3047E"/>
    <w:rsid w:val="00B31278"/>
    <w:rsid w:val="00B3281F"/>
    <w:rsid w:val="00B32C1E"/>
    <w:rsid w:val="00B32D0A"/>
    <w:rsid w:val="00B32EA7"/>
    <w:rsid w:val="00B33733"/>
    <w:rsid w:val="00B337EA"/>
    <w:rsid w:val="00B35599"/>
    <w:rsid w:val="00B366C3"/>
    <w:rsid w:val="00B36A75"/>
    <w:rsid w:val="00B372F4"/>
    <w:rsid w:val="00B37566"/>
    <w:rsid w:val="00B407F1"/>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62908"/>
    <w:rsid w:val="00B64392"/>
    <w:rsid w:val="00B65991"/>
    <w:rsid w:val="00B65AC1"/>
    <w:rsid w:val="00B67697"/>
    <w:rsid w:val="00B67806"/>
    <w:rsid w:val="00B705C5"/>
    <w:rsid w:val="00B70720"/>
    <w:rsid w:val="00B70925"/>
    <w:rsid w:val="00B721B1"/>
    <w:rsid w:val="00B72AA2"/>
    <w:rsid w:val="00B739D6"/>
    <w:rsid w:val="00B744BA"/>
    <w:rsid w:val="00B753E7"/>
    <w:rsid w:val="00B77692"/>
    <w:rsid w:val="00B77EC0"/>
    <w:rsid w:val="00B77FD2"/>
    <w:rsid w:val="00B83038"/>
    <w:rsid w:val="00B845D5"/>
    <w:rsid w:val="00B84C54"/>
    <w:rsid w:val="00B85342"/>
    <w:rsid w:val="00B85808"/>
    <w:rsid w:val="00B86165"/>
    <w:rsid w:val="00B86A67"/>
    <w:rsid w:val="00B87890"/>
    <w:rsid w:val="00B87ED7"/>
    <w:rsid w:val="00B90001"/>
    <w:rsid w:val="00B9116D"/>
    <w:rsid w:val="00B91515"/>
    <w:rsid w:val="00B9162C"/>
    <w:rsid w:val="00B91DA8"/>
    <w:rsid w:val="00B949A5"/>
    <w:rsid w:val="00B95F90"/>
    <w:rsid w:val="00B96225"/>
    <w:rsid w:val="00BA1160"/>
    <w:rsid w:val="00BA1401"/>
    <w:rsid w:val="00BA16EA"/>
    <w:rsid w:val="00BA18B6"/>
    <w:rsid w:val="00BA3033"/>
    <w:rsid w:val="00BA3E05"/>
    <w:rsid w:val="00BA3EBB"/>
    <w:rsid w:val="00BA4109"/>
    <w:rsid w:val="00BA44DA"/>
    <w:rsid w:val="00BA4657"/>
    <w:rsid w:val="00BA4943"/>
    <w:rsid w:val="00BA4D3E"/>
    <w:rsid w:val="00BA56A6"/>
    <w:rsid w:val="00BA5960"/>
    <w:rsid w:val="00BA5C88"/>
    <w:rsid w:val="00BA5D2F"/>
    <w:rsid w:val="00BA6717"/>
    <w:rsid w:val="00BA671C"/>
    <w:rsid w:val="00BA7B4A"/>
    <w:rsid w:val="00BB003F"/>
    <w:rsid w:val="00BB0CD5"/>
    <w:rsid w:val="00BB0D06"/>
    <w:rsid w:val="00BB27C9"/>
    <w:rsid w:val="00BB31C6"/>
    <w:rsid w:val="00BB3D95"/>
    <w:rsid w:val="00BB5698"/>
    <w:rsid w:val="00BB649A"/>
    <w:rsid w:val="00BB793B"/>
    <w:rsid w:val="00BB7BAF"/>
    <w:rsid w:val="00BC0D37"/>
    <w:rsid w:val="00BC1477"/>
    <w:rsid w:val="00BC1E80"/>
    <w:rsid w:val="00BC22B0"/>
    <w:rsid w:val="00BC25E1"/>
    <w:rsid w:val="00BC350B"/>
    <w:rsid w:val="00BC4756"/>
    <w:rsid w:val="00BC4892"/>
    <w:rsid w:val="00BC4BEF"/>
    <w:rsid w:val="00BC62BA"/>
    <w:rsid w:val="00BC6CC9"/>
    <w:rsid w:val="00BC6E21"/>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71CC"/>
    <w:rsid w:val="00BE7EFA"/>
    <w:rsid w:val="00BE7F3C"/>
    <w:rsid w:val="00BE7FB5"/>
    <w:rsid w:val="00BF1A3D"/>
    <w:rsid w:val="00BF1B1E"/>
    <w:rsid w:val="00BF1F95"/>
    <w:rsid w:val="00BF23A3"/>
    <w:rsid w:val="00BF29F7"/>
    <w:rsid w:val="00BF3B80"/>
    <w:rsid w:val="00BF416D"/>
    <w:rsid w:val="00BF47C5"/>
    <w:rsid w:val="00BF4B52"/>
    <w:rsid w:val="00BF75B3"/>
    <w:rsid w:val="00BF7807"/>
    <w:rsid w:val="00BF7DDB"/>
    <w:rsid w:val="00BF7E93"/>
    <w:rsid w:val="00C003E4"/>
    <w:rsid w:val="00C010F9"/>
    <w:rsid w:val="00C02985"/>
    <w:rsid w:val="00C030C8"/>
    <w:rsid w:val="00C03517"/>
    <w:rsid w:val="00C0534E"/>
    <w:rsid w:val="00C06CBE"/>
    <w:rsid w:val="00C107C1"/>
    <w:rsid w:val="00C120BC"/>
    <w:rsid w:val="00C141C2"/>
    <w:rsid w:val="00C15C3E"/>
    <w:rsid w:val="00C15D39"/>
    <w:rsid w:val="00C16997"/>
    <w:rsid w:val="00C16E9D"/>
    <w:rsid w:val="00C17000"/>
    <w:rsid w:val="00C205AA"/>
    <w:rsid w:val="00C20740"/>
    <w:rsid w:val="00C21031"/>
    <w:rsid w:val="00C21653"/>
    <w:rsid w:val="00C21A2A"/>
    <w:rsid w:val="00C21BD7"/>
    <w:rsid w:val="00C21E89"/>
    <w:rsid w:val="00C22E17"/>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D83"/>
    <w:rsid w:val="00C41422"/>
    <w:rsid w:val="00C42DC1"/>
    <w:rsid w:val="00C42F9C"/>
    <w:rsid w:val="00C43B5B"/>
    <w:rsid w:val="00C44F3D"/>
    <w:rsid w:val="00C4559E"/>
    <w:rsid w:val="00C45CBF"/>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50"/>
    <w:rsid w:val="00C558DE"/>
    <w:rsid w:val="00C55C98"/>
    <w:rsid w:val="00C569D0"/>
    <w:rsid w:val="00C56A4C"/>
    <w:rsid w:val="00C60541"/>
    <w:rsid w:val="00C61057"/>
    <w:rsid w:val="00C618E2"/>
    <w:rsid w:val="00C62948"/>
    <w:rsid w:val="00C62978"/>
    <w:rsid w:val="00C62C76"/>
    <w:rsid w:val="00C62CEF"/>
    <w:rsid w:val="00C633C9"/>
    <w:rsid w:val="00C63F33"/>
    <w:rsid w:val="00C64403"/>
    <w:rsid w:val="00C64931"/>
    <w:rsid w:val="00C65CDF"/>
    <w:rsid w:val="00C66350"/>
    <w:rsid w:val="00C67492"/>
    <w:rsid w:val="00C67786"/>
    <w:rsid w:val="00C70C13"/>
    <w:rsid w:val="00C72302"/>
    <w:rsid w:val="00C729FB"/>
    <w:rsid w:val="00C738B9"/>
    <w:rsid w:val="00C73969"/>
    <w:rsid w:val="00C75FF8"/>
    <w:rsid w:val="00C76BC9"/>
    <w:rsid w:val="00C771B1"/>
    <w:rsid w:val="00C772D6"/>
    <w:rsid w:val="00C7760B"/>
    <w:rsid w:val="00C776AC"/>
    <w:rsid w:val="00C81DF5"/>
    <w:rsid w:val="00C824B5"/>
    <w:rsid w:val="00C82A02"/>
    <w:rsid w:val="00C82C49"/>
    <w:rsid w:val="00C84BE0"/>
    <w:rsid w:val="00C8666E"/>
    <w:rsid w:val="00C868D5"/>
    <w:rsid w:val="00C872CE"/>
    <w:rsid w:val="00C877F8"/>
    <w:rsid w:val="00C91351"/>
    <w:rsid w:val="00C91A9D"/>
    <w:rsid w:val="00C92313"/>
    <w:rsid w:val="00C928AF"/>
    <w:rsid w:val="00C9324B"/>
    <w:rsid w:val="00C954CF"/>
    <w:rsid w:val="00C95C74"/>
    <w:rsid w:val="00C9614E"/>
    <w:rsid w:val="00C974BD"/>
    <w:rsid w:val="00C97FE4"/>
    <w:rsid w:val="00CA1367"/>
    <w:rsid w:val="00CA15AD"/>
    <w:rsid w:val="00CA16B2"/>
    <w:rsid w:val="00CA1CDE"/>
    <w:rsid w:val="00CA236D"/>
    <w:rsid w:val="00CA534F"/>
    <w:rsid w:val="00CA5383"/>
    <w:rsid w:val="00CA54F0"/>
    <w:rsid w:val="00CA5B99"/>
    <w:rsid w:val="00CA5CE8"/>
    <w:rsid w:val="00CA5DF3"/>
    <w:rsid w:val="00CA62EB"/>
    <w:rsid w:val="00CA699F"/>
    <w:rsid w:val="00CA71AB"/>
    <w:rsid w:val="00CB001E"/>
    <w:rsid w:val="00CB0346"/>
    <w:rsid w:val="00CB0A52"/>
    <w:rsid w:val="00CB0C90"/>
    <w:rsid w:val="00CB19CE"/>
    <w:rsid w:val="00CB1A12"/>
    <w:rsid w:val="00CB1E97"/>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D02C2"/>
    <w:rsid w:val="00CD07A9"/>
    <w:rsid w:val="00CD0F21"/>
    <w:rsid w:val="00CD228A"/>
    <w:rsid w:val="00CD3E7C"/>
    <w:rsid w:val="00CD40DC"/>
    <w:rsid w:val="00CD465E"/>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5561"/>
    <w:rsid w:val="00CF5FA0"/>
    <w:rsid w:val="00CF61E3"/>
    <w:rsid w:val="00CF6608"/>
    <w:rsid w:val="00CF7A8D"/>
    <w:rsid w:val="00D001B9"/>
    <w:rsid w:val="00D002C3"/>
    <w:rsid w:val="00D005AF"/>
    <w:rsid w:val="00D01232"/>
    <w:rsid w:val="00D0310D"/>
    <w:rsid w:val="00D038D9"/>
    <w:rsid w:val="00D04FFE"/>
    <w:rsid w:val="00D053DC"/>
    <w:rsid w:val="00D05645"/>
    <w:rsid w:val="00D05DE8"/>
    <w:rsid w:val="00D0630D"/>
    <w:rsid w:val="00D06CDD"/>
    <w:rsid w:val="00D06DE1"/>
    <w:rsid w:val="00D07B18"/>
    <w:rsid w:val="00D07F9C"/>
    <w:rsid w:val="00D07FC1"/>
    <w:rsid w:val="00D1145E"/>
    <w:rsid w:val="00D11C3F"/>
    <w:rsid w:val="00D1313C"/>
    <w:rsid w:val="00D13B2A"/>
    <w:rsid w:val="00D13EF6"/>
    <w:rsid w:val="00D145C0"/>
    <w:rsid w:val="00D152B5"/>
    <w:rsid w:val="00D1584A"/>
    <w:rsid w:val="00D16B4E"/>
    <w:rsid w:val="00D16DE9"/>
    <w:rsid w:val="00D175E6"/>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0E3"/>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20F"/>
    <w:rsid w:val="00D45AEE"/>
    <w:rsid w:val="00D46B2C"/>
    <w:rsid w:val="00D470B9"/>
    <w:rsid w:val="00D50053"/>
    <w:rsid w:val="00D50079"/>
    <w:rsid w:val="00D508CB"/>
    <w:rsid w:val="00D51C72"/>
    <w:rsid w:val="00D52C11"/>
    <w:rsid w:val="00D52D9B"/>
    <w:rsid w:val="00D537E5"/>
    <w:rsid w:val="00D53CA4"/>
    <w:rsid w:val="00D543B5"/>
    <w:rsid w:val="00D5442A"/>
    <w:rsid w:val="00D575CF"/>
    <w:rsid w:val="00D576C6"/>
    <w:rsid w:val="00D576D5"/>
    <w:rsid w:val="00D57C28"/>
    <w:rsid w:val="00D607C2"/>
    <w:rsid w:val="00D62061"/>
    <w:rsid w:val="00D62C38"/>
    <w:rsid w:val="00D62EAE"/>
    <w:rsid w:val="00D6331F"/>
    <w:rsid w:val="00D63BA6"/>
    <w:rsid w:val="00D64AA3"/>
    <w:rsid w:val="00D64C3C"/>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851"/>
    <w:rsid w:val="00D75F6F"/>
    <w:rsid w:val="00D8058F"/>
    <w:rsid w:val="00D81D18"/>
    <w:rsid w:val="00D81E84"/>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1A66"/>
    <w:rsid w:val="00D91AFA"/>
    <w:rsid w:val="00D92028"/>
    <w:rsid w:val="00D9225F"/>
    <w:rsid w:val="00D92FE0"/>
    <w:rsid w:val="00D9435B"/>
    <w:rsid w:val="00D944FA"/>
    <w:rsid w:val="00D94A8B"/>
    <w:rsid w:val="00D94F26"/>
    <w:rsid w:val="00D95735"/>
    <w:rsid w:val="00D9767A"/>
    <w:rsid w:val="00DA1357"/>
    <w:rsid w:val="00DA2A78"/>
    <w:rsid w:val="00DA3246"/>
    <w:rsid w:val="00DA326F"/>
    <w:rsid w:val="00DA4361"/>
    <w:rsid w:val="00DA4775"/>
    <w:rsid w:val="00DA47C3"/>
    <w:rsid w:val="00DA486C"/>
    <w:rsid w:val="00DA53E2"/>
    <w:rsid w:val="00DA5A59"/>
    <w:rsid w:val="00DA626A"/>
    <w:rsid w:val="00DA6431"/>
    <w:rsid w:val="00DA7EEE"/>
    <w:rsid w:val="00DB008D"/>
    <w:rsid w:val="00DB0835"/>
    <w:rsid w:val="00DB1147"/>
    <w:rsid w:val="00DB2391"/>
    <w:rsid w:val="00DB42EB"/>
    <w:rsid w:val="00DB4451"/>
    <w:rsid w:val="00DB48A2"/>
    <w:rsid w:val="00DB5AD0"/>
    <w:rsid w:val="00DB619B"/>
    <w:rsid w:val="00DB7BDD"/>
    <w:rsid w:val="00DC0DBD"/>
    <w:rsid w:val="00DC1597"/>
    <w:rsid w:val="00DC332E"/>
    <w:rsid w:val="00DC4272"/>
    <w:rsid w:val="00DC4A79"/>
    <w:rsid w:val="00DC4B8A"/>
    <w:rsid w:val="00DC4D7B"/>
    <w:rsid w:val="00DC5253"/>
    <w:rsid w:val="00DC53D6"/>
    <w:rsid w:val="00DC56FD"/>
    <w:rsid w:val="00DC5771"/>
    <w:rsid w:val="00DC5D6E"/>
    <w:rsid w:val="00DC6F3F"/>
    <w:rsid w:val="00DC7C95"/>
    <w:rsid w:val="00DD020C"/>
    <w:rsid w:val="00DD0764"/>
    <w:rsid w:val="00DD0767"/>
    <w:rsid w:val="00DD1033"/>
    <w:rsid w:val="00DD270F"/>
    <w:rsid w:val="00DD32F1"/>
    <w:rsid w:val="00DD3D1E"/>
    <w:rsid w:val="00DD3FA5"/>
    <w:rsid w:val="00DD4011"/>
    <w:rsid w:val="00DD5C59"/>
    <w:rsid w:val="00DD5D8C"/>
    <w:rsid w:val="00DD625F"/>
    <w:rsid w:val="00DD6A1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7252"/>
    <w:rsid w:val="00E27EA2"/>
    <w:rsid w:val="00E300D9"/>
    <w:rsid w:val="00E31308"/>
    <w:rsid w:val="00E31676"/>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50DDC"/>
    <w:rsid w:val="00E51A53"/>
    <w:rsid w:val="00E51A62"/>
    <w:rsid w:val="00E5236F"/>
    <w:rsid w:val="00E53586"/>
    <w:rsid w:val="00E537D4"/>
    <w:rsid w:val="00E538D7"/>
    <w:rsid w:val="00E54207"/>
    <w:rsid w:val="00E5432A"/>
    <w:rsid w:val="00E56482"/>
    <w:rsid w:val="00E57485"/>
    <w:rsid w:val="00E57F07"/>
    <w:rsid w:val="00E60329"/>
    <w:rsid w:val="00E60936"/>
    <w:rsid w:val="00E6142B"/>
    <w:rsid w:val="00E6236C"/>
    <w:rsid w:val="00E62388"/>
    <w:rsid w:val="00E625BF"/>
    <w:rsid w:val="00E62E0D"/>
    <w:rsid w:val="00E630D2"/>
    <w:rsid w:val="00E632CF"/>
    <w:rsid w:val="00E64834"/>
    <w:rsid w:val="00E65664"/>
    <w:rsid w:val="00E66A28"/>
    <w:rsid w:val="00E678A7"/>
    <w:rsid w:val="00E678C0"/>
    <w:rsid w:val="00E704ED"/>
    <w:rsid w:val="00E717DC"/>
    <w:rsid w:val="00E72277"/>
    <w:rsid w:val="00E72463"/>
    <w:rsid w:val="00E735CD"/>
    <w:rsid w:val="00E740C1"/>
    <w:rsid w:val="00E74897"/>
    <w:rsid w:val="00E75566"/>
    <w:rsid w:val="00E75E2B"/>
    <w:rsid w:val="00E76EB5"/>
    <w:rsid w:val="00E7708A"/>
    <w:rsid w:val="00E779F1"/>
    <w:rsid w:val="00E77C54"/>
    <w:rsid w:val="00E80614"/>
    <w:rsid w:val="00E8221B"/>
    <w:rsid w:val="00E822A6"/>
    <w:rsid w:val="00E831A0"/>
    <w:rsid w:val="00E83F5B"/>
    <w:rsid w:val="00E853A0"/>
    <w:rsid w:val="00E87638"/>
    <w:rsid w:val="00E90BD5"/>
    <w:rsid w:val="00E93EDB"/>
    <w:rsid w:val="00E94126"/>
    <w:rsid w:val="00E94238"/>
    <w:rsid w:val="00E94D42"/>
    <w:rsid w:val="00E94D7A"/>
    <w:rsid w:val="00E95155"/>
    <w:rsid w:val="00EA04FF"/>
    <w:rsid w:val="00EA1F44"/>
    <w:rsid w:val="00EA34DC"/>
    <w:rsid w:val="00EA3619"/>
    <w:rsid w:val="00EA379B"/>
    <w:rsid w:val="00EA4806"/>
    <w:rsid w:val="00EA526C"/>
    <w:rsid w:val="00EA5CAA"/>
    <w:rsid w:val="00EA6F18"/>
    <w:rsid w:val="00EA7577"/>
    <w:rsid w:val="00EA7CBA"/>
    <w:rsid w:val="00EB013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33C3"/>
    <w:rsid w:val="00EC349A"/>
    <w:rsid w:val="00EC35AA"/>
    <w:rsid w:val="00EC6255"/>
    <w:rsid w:val="00EC72A1"/>
    <w:rsid w:val="00EC7E67"/>
    <w:rsid w:val="00ED2C6D"/>
    <w:rsid w:val="00ED2E4E"/>
    <w:rsid w:val="00ED378A"/>
    <w:rsid w:val="00ED5095"/>
    <w:rsid w:val="00ED6A08"/>
    <w:rsid w:val="00ED7982"/>
    <w:rsid w:val="00EE40E0"/>
    <w:rsid w:val="00EE66D4"/>
    <w:rsid w:val="00EE72B0"/>
    <w:rsid w:val="00EE76DB"/>
    <w:rsid w:val="00EF0233"/>
    <w:rsid w:val="00EF083E"/>
    <w:rsid w:val="00EF1174"/>
    <w:rsid w:val="00EF1234"/>
    <w:rsid w:val="00EF19AE"/>
    <w:rsid w:val="00EF1B0B"/>
    <w:rsid w:val="00EF2FE9"/>
    <w:rsid w:val="00EF3A1D"/>
    <w:rsid w:val="00EF54BF"/>
    <w:rsid w:val="00EF558F"/>
    <w:rsid w:val="00EF674D"/>
    <w:rsid w:val="00EF73BA"/>
    <w:rsid w:val="00F002CC"/>
    <w:rsid w:val="00F0145F"/>
    <w:rsid w:val="00F02135"/>
    <w:rsid w:val="00F02995"/>
    <w:rsid w:val="00F02CE9"/>
    <w:rsid w:val="00F02DB9"/>
    <w:rsid w:val="00F02F42"/>
    <w:rsid w:val="00F03AB7"/>
    <w:rsid w:val="00F046BD"/>
    <w:rsid w:val="00F04887"/>
    <w:rsid w:val="00F04A2A"/>
    <w:rsid w:val="00F05760"/>
    <w:rsid w:val="00F057DA"/>
    <w:rsid w:val="00F0653C"/>
    <w:rsid w:val="00F0720E"/>
    <w:rsid w:val="00F07388"/>
    <w:rsid w:val="00F075BA"/>
    <w:rsid w:val="00F07E4A"/>
    <w:rsid w:val="00F07EFC"/>
    <w:rsid w:val="00F1015F"/>
    <w:rsid w:val="00F102D5"/>
    <w:rsid w:val="00F10595"/>
    <w:rsid w:val="00F133D8"/>
    <w:rsid w:val="00F133ED"/>
    <w:rsid w:val="00F14286"/>
    <w:rsid w:val="00F155A0"/>
    <w:rsid w:val="00F16248"/>
    <w:rsid w:val="00F16827"/>
    <w:rsid w:val="00F178EE"/>
    <w:rsid w:val="00F20645"/>
    <w:rsid w:val="00F20870"/>
    <w:rsid w:val="00F215D0"/>
    <w:rsid w:val="00F21869"/>
    <w:rsid w:val="00F22B56"/>
    <w:rsid w:val="00F236D8"/>
    <w:rsid w:val="00F23948"/>
    <w:rsid w:val="00F24101"/>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61AC"/>
    <w:rsid w:val="00F362BD"/>
    <w:rsid w:val="00F3697A"/>
    <w:rsid w:val="00F37DB1"/>
    <w:rsid w:val="00F402F9"/>
    <w:rsid w:val="00F40AD0"/>
    <w:rsid w:val="00F4208B"/>
    <w:rsid w:val="00F42678"/>
    <w:rsid w:val="00F4397A"/>
    <w:rsid w:val="00F43F25"/>
    <w:rsid w:val="00F44425"/>
    <w:rsid w:val="00F44C36"/>
    <w:rsid w:val="00F466BF"/>
    <w:rsid w:val="00F46CF9"/>
    <w:rsid w:val="00F47613"/>
    <w:rsid w:val="00F5063F"/>
    <w:rsid w:val="00F510FD"/>
    <w:rsid w:val="00F51504"/>
    <w:rsid w:val="00F51E02"/>
    <w:rsid w:val="00F52DBF"/>
    <w:rsid w:val="00F5386A"/>
    <w:rsid w:val="00F540E9"/>
    <w:rsid w:val="00F54420"/>
    <w:rsid w:val="00F55644"/>
    <w:rsid w:val="00F55A14"/>
    <w:rsid w:val="00F56D59"/>
    <w:rsid w:val="00F56EC7"/>
    <w:rsid w:val="00F572E5"/>
    <w:rsid w:val="00F606BF"/>
    <w:rsid w:val="00F6099D"/>
    <w:rsid w:val="00F6104C"/>
    <w:rsid w:val="00F615BE"/>
    <w:rsid w:val="00F62487"/>
    <w:rsid w:val="00F63950"/>
    <w:rsid w:val="00F649C6"/>
    <w:rsid w:val="00F665EF"/>
    <w:rsid w:val="00F66AB8"/>
    <w:rsid w:val="00F66CE2"/>
    <w:rsid w:val="00F71A5D"/>
    <w:rsid w:val="00F734A9"/>
    <w:rsid w:val="00F744C6"/>
    <w:rsid w:val="00F74A2A"/>
    <w:rsid w:val="00F74C7F"/>
    <w:rsid w:val="00F752E8"/>
    <w:rsid w:val="00F7567E"/>
    <w:rsid w:val="00F7657F"/>
    <w:rsid w:val="00F766A3"/>
    <w:rsid w:val="00F77A93"/>
    <w:rsid w:val="00F77FDE"/>
    <w:rsid w:val="00F80636"/>
    <w:rsid w:val="00F818DF"/>
    <w:rsid w:val="00F81D5B"/>
    <w:rsid w:val="00F82476"/>
    <w:rsid w:val="00F835BC"/>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CCD"/>
    <w:rsid w:val="00FC112E"/>
    <w:rsid w:val="00FC14EC"/>
    <w:rsid w:val="00FC1D20"/>
    <w:rsid w:val="00FC219D"/>
    <w:rsid w:val="00FC26CD"/>
    <w:rsid w:val="00FC3644"/>
    <w:rsid w:val="00FC38F9"/>
    <w:rsid w:val="00FC3DA8"/>
    <w:rsid w:val="00FC5C7E"/>
    <w:rsid w:val="00FC6059"/>
    <w:rsid w:val="00FC691C"/>
    <w:rsid w:val="00FC6CA9"/>
    <w:rsid w:val="00FC7DC3"/>
    <w:rsid w:val="00FD117F"/>
    <w:rsid w:val="00FD1C7C"/>
    <w:rsid w:val="00FD1D9B"/>
    <w:rsid w:val="00FD3A63"/>
    <w:rsid w:val="00FD3F69"/>
    <w:rsid w:val="00FD4F8D"/>
    <w:rsid w:val="00FD5138"/>
    <w:rsid w:val="00FD52C4"/>
    <w:rsid w:val="00FD58CF"/>
    <w:rsid w:val="00FD5CDE"/>
    <w:rsid w:val="00FD6133"/>
    <w:rsid w:val="00FD6AFB"/>
    <w:rsid w:val="00FD6EBF"/>
    <w:rsid w:val="00FD73EB"/>
    <w:rsid w:val="00FE001A"/>
    <w:rsid w:val="00FE0317"/>
    <w:rsid w:val="00FE07CF"/>
    <w:rsid w:val="00FE2DAF"/>
    <w:rsid w:val="00FE3B30"/>
    <w:rsid w:val="00FE58DD"/>
    <w:rsid w:val="00FE5CC6"/>
    <w:rsid w:val="00FE66D5"/>
    <w:rsid w:val="00FE780F"/>
    <w:rsid w:val="00FF1AB4"/>
    <w:rsid w:val="00FF1CDD"/>
    <w:rsid w:val="00FF281B"/>
    <w:rsid w:val="00FF2954"/>
    <w:rsid w:val="00FF2999"/>
    <w:rsid w:val="00FF2E8F"/>
    <w:rsid w:val="00FF40FA"/>
    <w:rsid w:val="00FF6838"/>
    <w:rsid w:val="00FF6DFC"/>
    <w:rsid w:val="00FF7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okik.gov.pl/download.php?plik=144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okik.gov.pl/download.php?plik=11639" TargetMode="External"/><Relationship Id="rId1" Type="http://schemas.openxmlformats.org/officeDocument/2006/relationships/hyperlink" Target="http://www.uokik.gov.pl/download.php?plik=116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D286-5105-4C24-A229-5DD98645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15658</Words>
  <Characters>93952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Jakub Kaminski</cp:lastModifiedBy>
  <cp:revision>21</cp:revision>
  <cp:lastPrinted>2015-05-15T11:06:00Z</cp:lastPrinted>
  <dcterms:created xsi:type="dcterms:W3CDTF">2015-08-27T13:29:00Z</dcterms:created>
  <dcterms:modified xsi:type="dcterms:W3CDTF">2015-08-28T12:29:00Z</dcterms:modified>
</cp:coreProperties>
</file>