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 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zakresie Europejskiego Funduszu Rozwoju Regionalnego, Europejskiego Funduszu Społecznego oraz Funduszu Spójności na lata 2014-2020 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>stanowiącymi załącznik nr 12 i 13 do</w:t>
      </w:r>
      <w:r w:rsidR="00D31BCA" w:rsidRPr="00712A1F">
        <w:t xml:space="preserve"> </w:t>
      </w:r>
      <w:r w:rsidR="00D31BCA" w:rsidRPr="001B1A61">
        <w:rPr>
          <w:i/>
        </w:rPr>
        <w:t>Regulaminu</w:t>
      </w:r>
      <w:r w:rsidR="00D31BCA" w:rsidRPr="00712A1F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POPC.02.03.01-IP.01-00-002/15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712A1F" w:rsidRPr="00712A1F">
        <w:t>(</w:t>
      </w:r>
      <w:hyperlink r:id="rId9" w:history="1">
        <w:r w:rsidR="00712A1F" w:rsidRPr="00712A1F">
          <w:rPr>
            <w:rStyle w:val="Hipercze"/>
          </w:rPr>
          <w:t>www. cppc.gov.pl</w:t>
        </w:r>
      </w:hyperlink>
      <w:r w:rsidR="0081730E" w:rsidRPr="000A02CF">
        <w:t>)</w:t>
      </w:r>
      <w:r w:rsidRPr="000A02CF">
        <w:t xml:space="preserve"> jako załączniki do regulaminu konkursu.</w:t>
      </w:r>
      <w:r w:rsidRPr="00B13BF4">
        <w:t xml:space="preserve"> </w:t>
      </w:r>
    </w:p>
    <w:p w:rsidR="00C67140" w:rsidRPr="00260E70" w:rsidRDefault="0081730E" w:rsidP="008534AB">
      <w:r w:rsidRPr="0081730E">
        <w:t xml:space="preserve">Wskazane jest również zapoznanie się z </w:t>
      </w:r>
      <w:r w:rsidRPr="0081730E">
        <w:rPr>
          <w:i/>
        </w:rPr>
        <w:t>Wytyczny</w:t>
      </w:r>
      <w:r w:rsidR="00C67140">
        <w:rPr>
          <w:i/>
        </w:rPr>
        <w:t>mi</w:t>
      </w:r>
      <w:r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zalecenia co do zakresu i sposobu sporządzania następujących 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Default="00C67140">
      <w:r w:rsidRPr="0019520D">
        <w:t xml:space="preserve">Zgłaszane projekty (wnioski o dofinansowanie) poddane będą szczegółowej analizie, a następnie ocenie co do zgodności z kryteriami wyboru projektów przyjętymi przez Komitet Monitorujący POPC. Do przygotowania wniosku o </w:t>
      </w:r>
      <w:r>
        <w:t>dofinansowanie dla Podd</w:t>
      </w:r>
      <w:r w:rsidRPr="0019520D">
        <w:t>ziałania 2.3</w:t>
      </w:r>
      <w:r>
        <w:t>.1</w:t>
      </w:r>
      <w:r w:rsidRPr="0019520D">
        <w:t xml:space="preserve"> POPC służy elektroniczny formularz wniosków zamieszczony na platformie ePUAP (</w:t>
      </w:r>
      <w:hyperlink r:id="rId10" w:history="1">
        <w:r w:rsidRPr="0019520D">
          <w:rPr>
            <w:rStyle w:val="Hipercze"/>
          </w:rPr>
          <w:t>http://epuap.gov.pl</w:t>
        </w:r>
      </w:hyperlink>
      <w:r w:rsidRPr="0019520D">
        <w:t>)</w:t>
      </w:r>
      <w:r>
        <w:t xml:space="preserve"> lub w innej formie udostępniony przez IOK. </w:t>
      </w:r>
    </w:p>
    <w:p w:rsidR="00C67140" w:rsidRPr="0019520D" w:rsidRDefault="00C67140">
      <w:r w:rsidRPr="0019520D">
        <w:t xml:space="preserve">Warunkiem złożenia wniosku w formie elektronicznej jest posiadanie konta na platformie ePUAP oraz </w:t>
      </w:r>
      <w:r>
        <w:t xml:space="preserve">profilu zaufanego lub </w:t>
      </w:r>
      <w:r w:rsidRPr="0019520D">
        <w:t xml:space="preserve">bezpiecznego podpisu elektronicznego weryfikowanego ważnym kwalifikowalnym certyfikatem. </w:t>
      </w:r>
    </w:p>
    <w:p w:rsidR="00C67140" w:rsidRPr="0019520D" w:rsidRDefault="00C67140">
      <w:pPr>
        <w:rPr>
          <w:highlight w:val="yellow"/>
        </w:rPr>
      </w:pPr>
    </w:p>
    <w:p w:rsidR="00C67140" w:rsidRPr="0019520D" w:rsidRDefault="00C67140">
      <w:r w:rsidRPr="0019520D">
        <w:t>Wnioski o dofinansowanie projektu można składać w formie elektronicznej lub papierowej, w trybach wskazanych poniżej:.</w:t>
      </w:r>
    </w:p>
    <w:p w:rsidR="00C67140" w:rsidRDefault="00C67140" w:rsidP="00F56EED">
      <w:r w:rsidRPr="0019520D">
        <w:t>1.</w:t>
      </w:r>
      <w:r w:rsidRPr="0019520D">
        <w:tab/>
        <w:t xml:space="preserve">Wnioski o dofinansowanie projektu przyjmowane są w formie elektronicznej za pośrednictwem elektronicznej skrzynki podawczej </w:t>
      </w:r>
      <w:r w:rsidR="0081730E" w:rsidRPr="0081730E">
        <w:t>CPPC</w:t>
      </w:r>
      <w:r w:rsidRPr="0019520D">
        <w:t xml:space="preserve"> (adres skrzynki ePUAP: </w:t>
      </w:r>
      <w:r w:rsidR="0081730E" w:rsidRPr="00817EA1">
        <w:t>/2yki7sk30g/nabory2</w:t>
      </w:r>
      <w:r w:rsidRPr="00817EA1">
        <w:t>31</w:t>
      </w:r>
      <w:r w:rsidR="0081730E" w:rsidRPr="00817EA1">
        <w:t>popc).</w:t>
      </w:r>
      <w:r w:rsidRPr="00817EA1">
        <w:t xml:space="preserve"> Formularz</w:t>
      </w:r>
      <w:r w:rsidRPr="0019520D">
        <w:t xml:space="preserve"> wniosku jest dostępny w katalogu usług publicznych na Elektronicznej Platformie Usług Administracji Publicznej (ePUAP) </w:t>
      </w:r>
    </w:p>
    <w:p w:rsidR="00C67140" w:rsidRPr="00B13BF4" w:rsidRDefault="00C67140" w:rsidP="00F56EED">
      <w:r w:rsidRPr="0019520D">
        <w:t>2.</w:t>
      </w:r>
      <w:r w:rsidRPr="0019520D">
        <w:tab/>
        <w:t xml:space="preserve">Wnioski w formie papierowej, wraz z wersją zapisaną na nośniku elektronicznym,  należy </w:t>
      </w:r>
      <w:r w:rsidRPr="00B13BF4">
        <w:t>składać osobiście lub przesyłką rejestrowaną w siedzibie IP, w biurze podawczym pod adresem:</w:t>
      </w:r>
    </w:p>
    <w:p w:rsidR="00C67140" w:rsidRPr="0019520D" w:rsidRDefault="0081730E" w:rsidP="00F56EED">
      <w:r w:rsidRPr="0081730E">
        <w:t>Centrum Projektów Polska Cyfrowa</w:t>
      </w:r>
    </w:p>
    <w:p w:rsidR="00C67140" w:rsidRPr="0019520D" w:rsidRDefault="00C67140" w:rsidP="00F56EED">
      <w:r w:rsidRPr="0019520D">
        <w:t>ul. Syreny 23</w:t>
      </w:r>
    </w:p>
    <w:p w:rsidR="00C67140" w:rsidRPr="0019520D" w:rsidRDefault="00C67140" w:rsidP="00F56EED">
      <w:r w:rsidRPr="0019520D">
        <w:t>01-150 Warszawa</w:t>
      </w:r>
    </w:p>
    <w:p w:rsidR="00C67140" w:rsidRPr="0019520D" w:rsidRDefault="00C67140" w:rsidP="00F56EED">
      <w:r w:rsidRPr="0019520D">
        <w:t>od poniedziałku do piątku w godzinach od 8.15 do 16.15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lastRenderedPageBreak/>
        <w:t>4</w:t>
      </w:r>
      <w:r w:rsidRPr="0019520D">
        <w:t>) Wniosek powinien zawierać poprawne wyliczenia arytmetyczne (z dokładnością do 2 miejsc po przecinku). Wszystkie wymagane pola wniosku muszą być wypełnione zgodnie z niniejszą instrukcją, w tym podane wszystkie wymagane dane oraz informacje</w:t>
      </w:r>
      <w:r>
        <w:t>.</w:t>
      </w:r>
    </w:p>
    <w:p w:rsidR="00C67140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 w:rsidP="00D42B2E">
      <w:pPr>
        <w:rPr>
          <w:b/>
        </w:rPr>
      </w:pPr>
      <w:r w:rsidRPr="008E41E7">
        <w:rPr>
          <w:b/>
        </w:rPr>
        <w:t xml:space="preserve">Dodatkowe wymogi dotyczące przygotowania wniosku o dofinansowanie w przypadku składania wniosku w formie </w:t>
      </w:r>
      <w:r>
        <w:rPr>
          <w:b/>
        </w:rPr>
        <w:t>elektronicznej</w:t>
      </w:r>
      <w:r w:rsidRPr="008E41E7">
        <w:rPr>
          <w:b/>
        </w:rPr>
        <w:t>:</w:t>
      </w:r>
    </w:p>
    <w:p w:rsidR="00C67140" w:rsidRPr="0019520D" w:rsidRDefault="00C67140"/>
    <w:p w:rsidR="00C67140" w:rsidRPr="0019520D" w:rsidRDefault="00C67140">
      <w:r>
        <w:t>1</w:t>
      </w:r>
      <w:r w:rsidRPr="0019520D">
        <w:t>) Wniosek</w:t>
      </w:r>
      <w:r>
        <w:t xml:space="preserve"> w formie elektronicznej</w:t>
      </w:r>
      <w:r w:rsidRPr="0019520D">
        <w:t xml:space="preserve"> powinien zostać złożony z zastosowaniem elektronicznego formularza na platformie ePUAP. W przypadku składania dokumentacji z wykorzystaniem platformy ePUAP osoba uprawniona do reprezentowania wnioskodawcy powinna dysponować</w:t>
      </w:r>
      <w:r>
        <w:t xml:space="preserve"> profilem zaufanym  ePUAP lub</w:t>
      </w:r>
      <w:r w:rsidRPr="0019520D">
        <w:t xml:space="preserve"> bezpiecznym podpisem elektronicznym weryfikowanym ważnym certyfikatem kwalifikowanym. Dopuszcza się również składanie dokumentacji w formie papierowej (wymagana jest 1 wersja papierowa oraz tożsama z nią 1 wersja elektroniczna np. na płycie CD, DVD).</w:t>
      </w:r>
    </w:p>
    <w:p w:rsidR="00C67140" w:rsidRPr="0019520D" w:rsidRDefault="00C67140">
      <w:r>
        <w:t>2</w:t>
      </w:r>
      <w:r w:rsidRPr="0019520D">
        <w:t xml:space="preserve">) W przypadku złożenia wniosku podpisanego </w:t>
      </w:r>
      <w:r>
        <w:t>profilem zaufanym  ePUAP lub</w:t>
      </w:r>
      <w:r w:rsidRPr="0019520D">
        <w:t xml:space="preserve"> bezpiecznym podpisem elektronicznym weryfikowanym ważnym certyfikatem kwalifikowanym przez platformę e-PUAP na elektroniczną skrzynkę podawczą WWPE, wersja papierowa nie jest wymagana.</w:t>
      </w:r>
    </w:p>
    <w:p w:rsidR="00C67140" w:rsidRDefault="00C67140">
      <w:r>
        <w:t>3</w:t>
      </w:r>
      <w:r w:rsidRPr="009C0073">
        <w:t>) W przypadku składania załączników za pośrednictwem platformy ePUAP, potwierdzenia treści załączników dokonuje się poprzez zaznaczenie właściwego pola na elektronicznym formularzu wniosku oraz złożenie wspólnego dla wniosku i załączników podpisu elektronicznego. 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 w:rsidR="00D02768"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plików, a także pamiętać, że platforma ePUAP pozwala na złożenie załączników o maksymalnej łącznej wielkości 3,5 MB. Zatem proponujemy, aby dokumenty były skanowane w odcieniach szarości, przy możliwie niskiej rozdzielczości, nie większej niż 200 dpi. Zeskanowane dokumenty po wydrukowaniu powinny umożliwić poprawne odczytanie wszystkich danych.</w:t>
      </w:r>
    </w:p>
    <w:p w:rsidR="00C67140" w:rsidRPr="009C0073" w:rsidRDefault="00C67140" w:rsidP="00D42B2E">
      <w:r>
        <w:t>W związku z ewentualną koniecznością dołączenia dużych plików do wniosku o dofinansowanie funkcjonalność dużych plików dostępna jest dla wszystkich podmiotów publicznych posiadających konto w systemie ePUAP, dla których nadana została rola instytucji publicznej. Limit wielkości dla dużych plików składanych w zasobach podmiotu wynosi 200MB</w:t>
      </w:r>
    </w:p>
    <w:p w:rsidR="00C67140" w:rsidRDefault="00C67140"/>
    <w:p w:rsidR="00C67140" w:rsidRDefault="00C67140">
      <w:r>
        <w:t>4) Do analizy finansowej i ekonomicznej należy również załączyć dokument w formie pliku sporządzonego w arkuszu kalkulacyjnym. W</w:t>
      </w:r>
      <w:r w:rsidR="0081730E"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>
      <w:r>
        <w:t>5) wniosek złożony w formie elektronicznej powinien być wolny od błędów rachunkowych oraz pisarskich .</w:t>
      </w:r>
    </w:p>
    <w:p w:rsidR="00C67140" w:rsidRDefault="00C67140">
      <w:r>
        <w:t>W przypadku braku możliwości wypełnienia wniosku o dofinansowanie w formularzu dost</w:t>
      </w:r>
      <w:r w:rsidR="007C1228">
        <w:t>ę</w:t>
      </w:r>
      <w:r>
        <w:t>pnym na platformie ePUAP stosuje się reguły wskazane w Regulaminie Konkursu.</w:t>
      </w:r>
    </w:p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>2) Wniosek należy wypełnić elektronicznie z zastosowaniem elektronicznego formularza na platformie ePUAP</w:t>
      </w:r>
      <w:r>
        <w:t xml:space="preserve"> lub w innej formie udostępnionego przez IOK 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Pr="008E41E7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lub ich wersje elektroniczne niepodpisane pod warunkiem zgodności treści plików z ich z wersją papierową (np. w formacie doc, docx, pdf, odt itp.)</w:t>
      </w:r>
      <w:r w:rsidRPr="008E41E7">
        <w:t>.</w:t>
      </w:r>
      <w:r w:rsidR="00D02768">
        <w:t xml:space="preserve"> Plik ze Studium wykonalności należy obligatoryjnie załączyć w formacie umożliwiającym wyszukiwanie tekstu.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 .</w:t>
      </w:r>
    </w:p>
    <w:p w:rsidR="000A02CF" w:rsidRDefault="000A02CF"/>
    <w:p w:rsidR="000A02CF" w:rsidRDefault="000A02CF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C67140" w:rsidRPr="00C02C04" w:rsidRDefault="00C67140" w:rsidP="0082749F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C67140" w:rsidRDefault="00C6714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uwagach, w takim przypadku odblokowane do edycji są jedynie pola wskazane przez IOK, jako te, które wymagają poprawy. W przypadku konieczności skorygowania wniosku jest on wysyłany do ePUAP w wersji złożonej uprzednio przez wnioskodawcę. W przypadku wyboru rodzaju zgłoszenia jako „korekta” konieczne jest podanie numeru wniosku zgodnie z pismem IOK dotyczącym konieczności wniesienia poprawek lub uzupełnień.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t>NRD - nr kolejny dokumentów związanych z projektem współfinansowanym  z funduszy strukturalnych</w:t>
      </w:r>
    </w:p>
    <w:p w:rsidR="00C67140" w:rsidRPr="00C02C04" w:rsidRDefault="00C67140">
      <w:r w:rsidRPr="00C02C04">
        <w:t>00 - dla umowy</w:t>
      </w:r>
    </w:p>
    <w:p w:rsidR="00C67140" w:rsidRPr="00C02C04" w:rsidRDefault="00C67140">
      <w:r w:rsidRPr="00C02C04">
        <w:t>01 - kolejny aneks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 </w:t>
      </w:r>
    </w:p>
    <w:p w:rsidR="00C67140" w:rsidRPr="00C02C04" w:rsidRDefault="00C67140">
      <w:r w:rsidRPr="00C02C04">
        <w:rPr>
          <w:b/>
          <w:u w:val="single"/>
        </w:rPr>
        <w:t>Godzina wpływu</w:t>
      </w:r>
      <w:r w:rsidRPr="00C02C04">
        <w:t xml:space="preserve"> – zapisana w formacie godzina; minuty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 przez Dyrektora IOK,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 przez Dyrektora IOK.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Pr="009A1EF8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4857C0" w:rsidRDefault="00C67140" w:rsidP="0082749F">
      <w:r w:rsidRPr="00422688">
        <w:rPr>
          <w:b/>
          <w:u w:val="single"/>
        </w:rPr>
        <w:t>Okres realizacji projektu</w:t>
      </w:r>
      <w:r w:rsidRPr="00422688">
        <w:rPr>
          <w:u w:val="single"/>
        </w:rPr>
        <w:t xml:space="preserve"> </w:t>
      </w:r>
      <w:r w:rsidRPr="00422688">
        <w:t xml:space="preserve">– to okres liczony od momentu </w:t>
      </w:r>
      <w:r>
        <w:t>rozpoczęcia prac w rozumieniu art.2 pkt 23 rozporządzenia Komisji (UE) nr 651/2014 r.</w:t>
      </w:r>
      <w:r w:rsidRPr="00422688">
        <w:t xml:space="preserve"> do zakończenia rzeczowego projektu (data ostatniego protokołu odbioru lub innego dokumentu równoważnego)</w:t>
      </w:r>
      <w:r>
        <w:t>.</w:t>
      </w:r>
      <w:r w:rsidRPr="00422688">
        <w:t xml:space="preserve"> </w:t>
      </w:r>
      <w:r>
        <w:t>N</w:t>
      </w:r>
      <w:r w:rsidRPr="00422688">
        <w:t>ależy podać dzień, miesiąc oraz rok (format rrrr-mm-dd), w którym planowane jest</w:t>
      </w:r>
      <w:r>
        <w:t xml:space="preserve"> rozpoczęcie prac oraz zakończenie rzeczowe projektu</w:t>
      </w:r>
      <w:r w:rsidRPr="00422688">
        <w:t xml:space="preserve">. Okres </w:t>
      </w:r>
      <w:r>
        <w:t xml:space="preserve">od planowanego podpisania umowy/porozumienia o dofinansowanie (określony na podstawie terminu zakończenia konkursu oraz wyznaczonego przez Instytucję Pośredniczącą maksymalnego czasu na podpisanie umowy/porozumienia) do zakończenia rzeczowego projektu </w:t>
      </w:r>
      <w:r w:rsidRPr="00422688">
        <w:t xml:space="preserve">nie może przekroczyć 36 miesięcy. </w:t>
      </w:r>
      <w:r>
        <w:t xml:space="preserve"> </w:t>
      </w:r>
    </w:p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Planowany termin podpisania umowy to maj 2016 r.,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maja 2019 r. </w:t>
      </w:r>
    </w:p>
    <w:p w:rsidR="004857C0" w:rsidRPr="004857C0" w:rsidRDefault="004857C0" w:rsidP="004857C0">
      <w:pPr>
        <w:rPr>
          <w:b/>
        </w:rPr>
      </w:pPr>
    </w:p>
    <w:p w:rsidR="004857C0" w:rsidRP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zasobów nauki” </w:t>
      </w:r>
      <w:r w:rsidR="0081730E" w:rsidRPr="004857C0">
        <w:rPr>
          <w:b/>
        </w:rPr>
        <w:t>Planowany termin podpisania umowy to</w:t>
      </w:r>
      <w:r w:rsidR="004A40F4" w:rsidRPr="004857C0">
        <w:rPr>
          <w:b/>
        </w:rPr>
        <w:t xml:space="preserve"> </w:t>
      </w:r>
      <w:r w:rsidR="00E67D16" w:rsidRPr="004857C0">
        <w:rPr>
          <w:b/>
        </w:rPr>
        <w:t xml:space="preserve">lipiec </w:t>
      </w:r>
      <w:r w:rsidR="004A40F4" w:rsidRPr="004857C0">
        <w:rPr>
          <w:b/>
        </w:rPr>
        <w:t xml:space="preserve">2016 r., </w:t>
      </w:r>
      <w:r w:rsidR="0081730E" w:rsidRPr="004857C0">
        <w:rPr>
          <w:b/>
        </w:rPr>
        <w:t xml:space="preserve">w związku z powyższym </w:t>
      </w:r>
      <w:r w:rsidRPr="004857C0">
        <w:rPr>
          <w:b/>
        </w:rPr>
        <w:t xml:space="preserve">wskazany </w:t>
      </w:r>
      <w:r w:rsidR="0081730E" w:rsidRPr="004857C0">
        <w:rPr>
          <w:b/>
        </w:rPr>
        <w:t xml:space="preserve">koniec okresu realizacji Projektu </w:t>
      </w:r>
      <w:r w:rsidR="00E67D16" w:rsidRPr="004857C0">
        <w:rPr>
          <w:b/>
        </w:rPr>
        <w:t xml:space="preserve">co do zasady </w:t>
      </w:r>
      <w:r w:rsidR="0081730E" w:rsidRPr="004857C0">
        <w:rPr>
          <w:b/>
        </w:rPr>
        <w:t xml:space="preserve">nie </w:t>
      </w:r>
      <w:r w:rsidR="00E67D16" w:rsidRPr="004857C0">
        <w:rPr>
          <w:b/>
        </w:rPr>
        <w:t xml:space="preserve">powinien </w:t>
      </w:r>
      <w:r w:rsidR="00353BC5">
        <w:rPr>
          <w:b/>
        </w:rPr>
        <w:t xml:space="preserve">być </w:t>
      </w:r>
      <w:r w:rsidR="0081730E" w:rsidRPr="004857C0">
        <w:rPr>
          <w:b/>
        </w:rPr>
        <w:t>później</w:t>
      </w:r>
      <w:r w:rsidR="00353BC5">
        <w:rPr>
          <w:b/>
        </w:rPr>
        <w:t>szy</w:t>
      </w:r>
      <w:r w:rsidR="0081730E" w:rsidRPr="004857C0">
        <w:rPr>
          <w:b/>
        </w:rPr>
        <w:t xml:space="preserve"> niż </w:t>
      </w:r>
      <w:r w:rsidR="00353BC5">
        <w:rPr>
          <w:b/>
        </w:rPr>
        <w:t>ostatni dzień</w:t>
      </w:r>
      <w:r w:rsidR="00353BC5" w:rsidRPr="004857C0">
        <w:rPr>
          <w:b/>
        </w:rPr>
        <w:t xml:space="preserve"> </w:t>
      </w:r>
      <w:r w:rsidR="00E67D16" w:rsidRPr="004857C0">
        <w:rPr>
          <w:b/>
        </w:rPr>
        <w:t xml:space="preserve">lipca </w:t>
      </w:r>
      <w:r w:rsidR="004A40F4" w:rsidRPr="004857C0">
        <w:rPr>
          <w:b/>
        </w:rPr>
        <w:t>201</w:t>
      </w:r>
      <w:r w:rsidR="00B556EE" w:rsidRPr="004857C0">
        <w:rPr>
          <w:b/>
        </w:rPr>
        <w:t>9</w:t>
      </w:r>
      <w:r w:rsidR="004A40F4" w:rsidRPr="004857C0">
        <w:rPr>
          <w:b/>
        </w:rPr>
        <w:t xml:space="preserve"> r.</w:t>
      </w:r>
      <w:r w:rsidR="00C67140" w:rsidRPr="004857C0">
        <w:rPr>
          <w:b/>
        </w:rPr>
        <w:t xml:space="preserve"> </w:t>
      </w:r>
    </w:p>
    <w:p w:rsidR="004857C0" w:rsidRDefault="004857C0" w:rsidP="004857C0"/>
    <w:p w:rsidR="00C67140" w:rsidRPr="00422688" w:rsidRDefault="00C67140" w:rsidP="0082749F">
      <w:r>
        <w:t xml:space="preserve">W przypadku podpisania umowy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3 miesiące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Nie,</w:t>
      </w: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 20 Wniosku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niewyszczególnione usługi.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037D92" w:rsidRDefault="00C67140"/>
    <w:p w:rsidR="00C67140" w:rsidRDefault="0081730E" w:rsidP="005B4E4D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pełni funkcję Partnera wiodącego)</w:t>
      </w:r>
    </w:p>
    <w:p w:rsidR="00C67140" w:rsidRDefault="00C67140">
      <w:pPr>
        <w:rPr>
          <w:b/>
          <w:u w:val="single"/>
        </w:rPr>
      </w:pP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władzy, administracji rządowej,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kontroli państwowej i ochrony prawa,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samorządowe,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sądy i trybunały,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Skarb Państwa,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zgrupowania interesów gospodarczych,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państwowe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gminne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powiatowe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wojewódzkie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instytucje gospodarki budżetowej,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 europejskie,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uczelnie,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samodzielne publiczne zakłady opieki zdrowotnej,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fundacje,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Kościół Katolicki,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kościoły i związki wyznaniowe,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ugrupowanie współpracy terytorialnej,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stowarzyszenia,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społeczne oddzielnie niewymienione,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instytuty badawcze,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partie polityczne,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zawodowe,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pracodawców,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samorząd gospodarczy i zawodowy,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przedstawicielstwa zagraniczne,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mieszkaniowe,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grup producentów rolnych,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037D92">
        <w:t>bez szczególnej formy prawnej.</w:t>
      </w:r>
      <w:r w:rsidRPr="00037D92" w:rsidDel="0055794E">
        <w:rPr>
          <w:b/>
          <w:u w:val="single"/>
        </w:rPr>
        <w:t xml:space="preserve"> </w:t>
      </w: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 xml:space="preserve">– należy podać numer NIP </w:t>
      </w:r>
      <w:r>
        <w:t>Partnera</w:t>
      </w:r>
      <w:r w:rsidRPr="00114C82">
        <w:t xml:space="preserve">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>
        <w:t>Partnera</w:t>
      </w:r>
      <w:r w:rsidRPr="00114C82">
        <w:t xml:space="preserve">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(tzn, czy istnieje nawet potencjalna możliwość odzyskania podatku, bez względu na fakt, czy Partner 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>
        <w:t>z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gdy podatek VAT jest rozliczany z Urzędem Skarbowym proporcją, tzn beneficjent nie ma możliwości odzyskania części podatku, w zakresie w jakim  podatek jest niemożliwy do odzyskania może stanowić on wydatek kwalifikowany, należy w takim wypadku wybrać „częściowo”. Wartość „częściowo” należy wybrać również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 „nie”. Opcję tą należy również wybrać, w sytuacji, gdy pomimo potencjalnej kwalifikowalności podatku VAT beneficjent nie będzie go rozliczał w projekcie.</w:t>
      </w:r>
    </w:p>
    <w:p w:rsidR="000A02CF" w:rsidRPr="000A02CF" w:rsidRDefault="00712A1F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9B4DE2" w:rsidRDefault="00C67140" w:rsidP="0082749F">
      <w:r w:rsidRPr="009B4DE2">
        <w:rPr>
          <w:b/>
        </w:rPr>
        <w:t>Adres siedziby</w:t>
      </w:r>
      <w:r w:rsidRPr="009B4DE2">
        <w:t xml:space="preserve"> – Wnioskodawca 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>
        <w:rPr>
          <w:b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C67140" w:rsidRPr="009B4DE2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4A40F4" w:rsidRDefault="00C67140">
      <w:r>
        <w:rPr>
          <w:b/>
          <w:u w:val="single"/>
        </w:rPr>
        <w:t xml:space="preserve">5. </w:t>
      </w:r>
      <w:r w:rsidRPr="00AC37A4">
        <w:rPr>
          <w:b/>
          <w:u w:val="single"/>
        </w:rPr>
        <w:t>P</w:t>
      </w:r>
      <w:r>
        <w:rPr>
          <w:b/>
          <w:u w:val="single"/>
        </w:rPr>
        <w:t>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pierwszego i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  <w:r>
        <w:t xml:space="preserve"> </w:t>
      </w:r>
    </w:p>
    <w:p w:rsidR="009423EC" w:rsidRDefault="009423EC" w:rsidP="009423EC">
      <w:pPr>
        <w:pStyle w:val="Akapitzlist"/>
        <w:ind w:left="0"/>
        <w:rPr>
          <w:b/>
        </w:rPr>
      </w:pPr>
      <w: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7C1228" w:rsidRDefault="00C67140" w:rsidP="00C75895">
      <w:pPr>
        <w:pStyle w:val="Akapitzlist"/>
        <w:ind w:left="0"/>
      </w:pPr>
      <w:r w:rsidRPr="00DD53BA">
        <w:rPr>
          <w:u w:val="single"/>
        </w:rPr>
        <w:t>Ponadto, w polu „</w:t>
      </w:r>
      <w:r w:rsidRPr="00C41A87">
        <w:rPr>
          <w:u w:val="single"/>
        </w:rPr>
        <w:t xml:space="preserve">Opis sposobu </w:t>
      </w:r>
      <w:r w:rsidR="00712A1F" w:rsidRPr="00712A1F">
        <w:rPr>
          <w:u w:val="single"/>
        </w:rPr>
        <w:t>wyboru partnera oraz u</w:t>
      </w:r>
      <w:r w:rsidR="00712A1F" w:rsidRPr="00712A1F">
        <w:rPr>
          <w:u w:val="single"/>
          <w:lang w:eastAsia="fr-FR"/>
        </w:rPr>
        <w:t>zasadnienie dla jego wyboru</w:t>
      </w:r>
      <w:r w:rsidR="00712A1F" w:rsidRPr="00712A1F">
        <w:t xml:space="preserve">” należy </w:t>
      </w:r>
      <w:r w:rsidR="00F81018">
        <w:t xml:space="preserve">również </w:t>
      </w:r>
      <w:r w:rsidR="00712A1F" w:rsidRPr="00712A1F">
        <w:t xml:space="preserve">opisać sposób wyboru partnera oraz uzasadnienie jego wyboru w kontekście konieczności realizowania Projektu w partnerstwie.  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</w:t>
      </w:r>
      <w:r w:rsidR="007C1228">
        <w:t xml:space="preserve"> (maksymalnie </w:t>
      </w:r>
      <w:r w:rsidR="00F81018">
        <w:t>12</w:t>
      </w:r>
      <w:r w:rsidR="007C1228">
        <w:t>000 znaków)</w:t>
      </w:r>
    </w:p>
    <w:p w:rsidR="00C67140" w:rsidRPr="00D1487F" w:rsidRDefault="00752238" w:rsidP="00C75895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Regulamin i kryteria wyboru partnera (jeśli dotyczy).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Protokoły z wyboru partnera.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Umowa partnerstwa zawierająca: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C67140" w:rsidRPr="00B556EE" w:rsidRDefault="00712A1F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 xml:space="preserve">ponadto zaleca się wskazanie w umowie/porozumieniu o partnerstwie </w:t>
      </w:r>
      <w:r w:rsidR="0081730E" w:rsidRPr="00B556EE">
        <w:t>strukturę własności majątku wytworzonego w ramach Projektu.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C67140" w:rsidRPr="00C67140" w:rsidRDefault="0081730E" w:rsidP="00D42B65">
      <w:pPr>
        <w:rPr>
          <w:b/>
        </w:rPr>
      </w:pPr>
      <w:r w:rsidRPr="0081730E">
        <w:rPr>
          <w:b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 xml:space="preserve">– należy opisać charakter działalności wnioskodawcy oraz informacje szczegółowe na temat formy prawnej wnioskodawcy (np. czy wnioskodawca jest pjb). </w:t>
      </w:r>
      <w:r w:rsidRPr="00037D92">
        <w:br/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C67140" w:rsidRPr="00037D92" w:rsidRDefault="00C67140" w:rsidP="00D42B65"/>
    <w:p w:rsidR="00C67140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pełni funkcję Partnera wiodącego)</w:t>
      </w:r>
    </w:p>
    <w:p w:rsidR="00C67140" w:rsidRDefault="00C67140" w:rsidP="00D42B65">
      <w:pPr>
        <w:rPr>
          <w:b/>
          <w:u w:val="single"/>
        </w:rPr>
      </w:pP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/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0A02CF" w:rsidRDefault="000A02CF">
      <w:pPr>
        <w:pStyle w:val="Akapitzlist"/>
        <w:ind w:left="360"/>
      </w:pP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 Beneficjenta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Beneficjenta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wnioskodawcy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(tzn, czy istnieje nawet potencjalna możliwość odzyskania podatku, bez względu na fakt, czy Wnioskodawca będzie starał się go odzyskać)</w:t>
      </w:r>
      <w:r w:rsidRPr="00114C82">
        <w:t xml:space="preserve">. Należy wybrać właściwą wartość </w:t>
      </w:r>
      <w:r>
        <w:br/>
      </w:r>
      <w:r w:rsidRPr="00114C82">
        <w:t>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C67140" w:rsidRDefault="00C67140" w:rsidP="00D42B65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>Zasady wskazywania poszczególnych pól są analogiczne, jak w przypadku Beneficjenta.</w:t>
      </w:r>
    </w:p>
    <w:p w:rsidR="00C67140" w:rsidRPr="00114C82" w:rsidRDefault="00C67140" w:rsidP="00D42B65">
      <w:pPr>
        <w:autoSpaceDE w:val="0"/>
        <w:autoSpaceDN w:val="0"/>
        <w:adjustRightInd w:val="0"/>
        <w:spacing w:line="240" w:lineRule="auto"/>
      </w:pPr>
    </w:p>
    <w:p w:rsidR="00C67140" w:rsidRPr="00CD0AFE" w:rsidRDefault="00712A1F" w:rsidP="00D42B65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19520D" w:rsidRDefault="00C67140" w:rsidP="00D42B65">
      <w:pPr>
        <w:rPr>
          <w:highlight w:val="yellow"/>
        </w:rPr>
      </w:pP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>. Wpisane w polach dane powinny być aktualne i zgodne z dokumentami rejestrowymi wnioskodawcy</w:t>
      </w:r>
      <w:r w:rsidR="00C67140">
        <w:t xml:space="preserve"> lub bazą REGON</w:t>
      </w:r>
      <w:r w:rsidR="00C67140" w:rsidRPr="009B4DE2">
        <w:t xml:space="preserve">. W rubryce adres siedziby należy wpisać adres siedziby kierownictwa wnioskodawcy.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CA71B0"/>
    <w:p w:rsidR="00C67140" w:rsidRDefault="00C67140" w:rsidP="00A24D37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C67140" w:rsidRDefault="00C67140" w:rsidP="00D655AF"/>
    <w:p w:rsidR="00C67140" w:rsidRDefault="00C67140" w:rsidP="00D655AF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którym znajduje się właściwy opis.</w:t>
      </w:r>
    </w:p>
    <w:p w:rsidR="00C67140" w:rsidRDefault="00C67140" w:rsidP="00D655AF">
      <w:r>
        <w:t>(maksymalnie 4000 znaków)</w:t>
      </w:r>
    </w:p>
    <w:p w:rsidR="00C67140" w:rsidRDefault="00C67140" w:rsidP="00A24D37"/>
    <w:p w:rsidR="00C67140" w:rsidRDefault="0081730E" w:rsidP="00CA71B0">
      <w:r w:rsidRPr="0081730E">
        <w:rPr>
          <w:b/>
        </w:rPr>
        <w:t>Opis planowanych działań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Pr="00BD7CE5" w:rsidRDefault="00C67140" w:rsidP="00CA71B0">
      <w:r w:rsidDel="00E41318">
        <w:t xml:space="preserve"> </w:t>
      </w:r>
      <w:r>
        <w:t>(maksymalnie 12</w:t>
      </w:r>
      <w:r w:rsidRPr="00471A81">
        <w:t>000 znaków)</w:t>
      </w:r>
    </w:p>
    <w:p w:rsidR="00C67140" w:rsidRDefault="00C67140" w:rsidP="00361571"/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realizacji projektu)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 - oraz wskaźniki, które wnioskodawca może samodzielnie zaproponować).</w:t>
      </w:r>
    </w:p>
    <w:p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C67140" w:rsidRPr="00C67140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obligatoryjny</w:t>
      </w:r>
      <w:r>
        <w:t xml:space="preserve"> wskaźnik kluczowy produktu, tj. </w:t>
      </w:r>
      <w:r w:rsidR="0081730E" w:rsidRPr="0081730E">
        <w:rPr>
          <w:b/>
        </w:rPr>
        <w:t>Liczba podmiotów, które udostępniły on-line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 xml:space="preserve">Wnioskodawca, poza ww. wskaźnikiem obligatoryjnym,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Z zastrzeżeniem, iż</w:t>
      </w:r>
      <w:r w:rsidR="00582B64" w:rsidRPr="0081730E">
        <w:t xml:space="preserve"> wnioskodawca </w:t>
      </w:r>
      <w:r w:rsidR="00582B64">
        <w:t>zobowiązany jest</w:t>
      </w:r>
      <w:r w:rsidR="00582B64" w:rsidRPr="0081730E">
        <w:t xml:space="preserve"> wykazać, że projekt realizuje wskaźnik rezultatu bezpośredniego</w:t>
      </w:r>
      <w:r w:rsidR="00582B64">
        <w:rPr>
          <w:b/>
        </w:rPr>
        <w:t xml:space="preserve"> „</w:t>
      </w:r>
      <w:r w:rsidR="00582B64" w:rsidRPr="00A87883">
        <w:rPr>
          <w:b/>
        </w:rPr>
        <w:t>Liczba pobrań/</w:t>
      </w:r>
      <w:r w:rsidR="00582B64">
        <w:rPr>
          <w:b/>
        </w:rPr>
        <w:t xml:space="preserve"> </w:t>
      </w:r>
      <w:r w:rsidR="00582B64" w:rsidRPr="00A87883">
        <w:rPr>
          <w:b/>
        </w:rPr>
        <w:t>odtworzeń dokumentów zawierających informacje sektora publicznego</w:t>
      </w:r>
      <w:r w:rsidR="00582B64">
        <w:rPr>
          <w:b/>
        </w:rPr>
        <w:t>”</w:t>
      </w:r>
      <w:r w:rsidR="00582B64">
        <w:t xml:space="preserve"> - w</w:t>
      </w:r>
      <w:r w:rsidR="00582B64" w:rsidRPr="0081730E">
        <w:rPr>
          <w:b/>
        </w:rPr>
        <w:t xml:space="preserve">artość tego wskaźnika </w:t>
      </w:r>
      <w:r w:rsidR="00582B64" w:rsidRPr="0081730E">
        <w:rPr>
          <w:b/>
          <w:u w:val="single"/>
        </w:rPr>
        <w:t>nie może</w:t>
      </w:r>
      <w:r w:rsidR="00582B64" w:rsidRPr="0081730E">
        <w:rPr>
          <w:b/>
        </w:rPr>
        <w:t xml:space="preserve"> wynosić „0”.</w:t>
      </w:r>
    </w:p>
    <w:p w:rsidR="00C67140" w:rsidRDefault="00C67140" w:rsidP="001B4B4A">
      <w:pPr>
        <w:spacing w:before="240"/>
      </w:pPr>
      <w:r>
        <w:t>Lista dostępnych wskaźników w poddziałaniu 2.3.1 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CD0AFE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2A1F">
              <w:rPr>
                <w:rFonts w:ascii="Times New Roman" w:hAnsi="Times New Roman"/>
                <w:sz w:val="16"/>
                <w:szCs w:val="16"/>
              </w:rPr>
              <w:t xml:space="preserve">Wartość wskaźnika należy liczyć jako sumę liczby pobrań i odtworzeń poszczególnych dokumentów </w:t>
            </w:r>
            <w:r w:rsidRPr="00712A1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712A1F">
              <w:rPr>
                <w:rFonts w:ascii="Times New Roman" w:hAnsi="Times New Roman"/>
                <w:sz w:val="16"/>
                <w:szCs w:val="16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97"/>
        <w:gridCol w:w="776"/>
        <w:gridCol w:w="990"/>
        <w:gridCol w:w="484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Dane pokazują wartości osiągnięte w ciągu roku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C67140" w:rsidRDefault="00C67140" w:rsidP="00817EA1">
      <w:pPr>
        <w:numPr>
          <w:ilvl w:val="0"/>
          <w:numId w:val="17"/>
        </w:numPr>
        <w:spacing w:after="240"/>
      </w:pPr>
      <w:r w:rsidRPr="0080434A">
        <w:t>Poza zdefiniowanymi w formularzu wniosku wskaźnikami, Wnioskodawca ma możliwość dodania  samodzielnie określon</w:t>
      </w:r>
      <w:r>
        <w:t>ego</w:t>
      </w:r>
      <w:r w:rsidRPr="0080434A">
        <w:t xml:space="preserve"> wskaźnik</w:t>
      </w:r>
      <w:r>
        <w:t xml:space="preserve">a </w:t>
      </w:r>
      <w:r w:rsidRPr="0080434A">
        <w:t xml:space="preserve">rezultatu bezpośredniego, </w:t>
      </w:r>
      <w:r w:rsidRPr="0080434A">
        <w:rPr>
          <w:b/>
        </w:rPr>
        <w:t>specyficzn</w:t>
      </w:r>
      <w:r>
        <w:rPr>
          <w:b/>
        </w:rPr>
        <w:t>ego</w:t>
      </w:r>
      <w:r w:rsidRPr="0080434A">
        <w:rPr>
          <w:b/>
        </w:rPr>
        <w:t xml:space="preserve"> dla Projektu</w:t>
      </w:r>
      <w:r w:rsidRPr="0080434A">
        <w:t xml:space="preserve"> (tabela „Wskaźniki specyficzne dla projektu”), w celu uzupełnienia zdefiniowanej listy wskaźników. </w:t>
      </w:r>
      <w:r w:rsidRPr="00B53D53">
        <w:t xml:space="preserve">Wnioskodawca </w:t>
      </w:r>
      <w:r>
        <w:t>może określić maksymalnie 1 wskaźnik rezultatu bezpośredniego, specyficzny</w:t>
      </w:r>
      <w:r w:rsidRPr="00B53D53">
        <w:t xml:space="preserve"> dla Projektu</w:t>
      </w:r>
      <w:r>
        <w:t xml:space="preserve"> (poza 3 wcześniej wymienionymi wskaźnikami informacyjnymi)</w:t>
      </w:r>
      <w:r w:rsidRPr="00B53D53">
        <w:t>.</w:t>
      </w:r>
    </w:p>
    <w:p w:rsidR="000A02CF" w:rsidRDefault="00C67140">
      <w:pPr>
        <w:spacing w:after="240"/>
      </w:pPr>
      <w:r>
        <w:t xml:space="preserve">W przypadku samodzielnego zdefiniowania wskaźnika specyficznego dla projektu, w ww. tabeli podać należy jego nazwę, jednostkę miary oraz wartość docelową. </w:t>
      </w:r>
      <w:r w:rsidRPr="0080434A">
        <w:t xml:space="preserve">Jednakże, samodzielne zdefiniowanie wskaźnika nie jest obligatoryjne. </w:t>
      </w:r>
    </w:p>
    <w:p w:rsidR="004F1A33" w:rsidRDefault="00C67140" w:rsidP="00F02CDB">
      <w:pPr>
        <w:spacing w:after="240"/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 xml:space="preserve">informacyjnych) </w:t>
      </w:r>
    </w:p>
    <w:p w:rsidR="00C67140" w:rsidRDefault="00C67140" w:rsidP="00F02CDB">
      <w:pPr>
        <w:spacing w:after="240"/>
      </w:pPr>
      <w:r>
        <w:t>8</w:t>
      </w:r>
      <w:r w:rsidR="0081730E" w:rsidRPr="0081730E">
        <w:rPr>
          <w:b/>
        </w:rPr>
        <w:t xml:space="preserve">a.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C67140" w:rsidRDefault="00C67140" w:rsidP="00F02CDB">
      <w:pPr>
        <w:spacing w:after="240"/>
      </w:pPr>
      <w:r>
        <w:t>W przypadku samodzielnego definiowania wskaźnika specyficznego dla Projektu, wartość ta jest automatycznie przenoszona do pól dotyczących Beneficjanta i Partnerów.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 Uzasadnienie wartości docelowej wskaźników kluczowych oraz uzasadnienie dla wyboru </w:t>
      </w:r>
      <w:r w:rsidR="00C67140" w:rsidRPr="00DE49DD">
        <w:rPr>
          <w:b/>
        </w:rPr>
        <w:t xml:space="preserve">wskaźników specyficznych dla projektu </w:t>
      </w:r>
      <w:r w:rsidR="00C67140">
        <w:rPr>
          <w:b/>
        </w:rPr>
        <w:t xml:space="preserve">oraz ich </w:t>
      </w:r>
      <w:r w:rsidRPr="0081730E">
        <w:rPr>
          <w:b/>
        </w:rPr>
        <w:t xml:space="preserve">wartości docelowej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>Uzasadnienie dla doboru wskaźnik</w:t>
      </w:r>
      <w:r>
        <w:rPr>
          <w:b/>
          <w:color w:val="000000"/>
          <w:lang w:eastAsia="pl-PL"/>
        </w:rPr>
        <w:t>a specyficznego dla projektu</w:t>
      </w:r>
      <w:r w:rsidRPr="00B77C8B">
        <w:rPr>
          <w:b/>
          <w:color w:val="000000"/>
          <w:lang w:eastAsia="pl-PL"/>
        </w:rPr>
        <w:t xml:space="preserve"> oraz 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</w:t>
      </w:r>
      <w:r w:rsidRPr="001B4B4A">
        <w:rPr>
          <w:lang w:eastAsia="pl-PL"/>
        </w:rPr>
        <w:t xml:space="preserve"> </w:t>
      </w:r>
      <w:r w:rsidRPr="00DC28D0">
        <w:rPr>
          <w:lang w:eastAsia="pl-PL"/>
        </w:rPr>
        <w:t xml:space="preserve">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).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 xml:space="preserve">należy wykazać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Default="0081730E" w:rsidP="000A52E5">
      <w:pPr>
        <w:rPr>
          <w:b/>
        </w:rPr>
      </w:pPr>
      <w:r w:rsidRPr="0081730E">
        <w:rPr>
          <w:b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>
        <w:rPr>
          <w:b/>
        </w:rPr>
        <w:t>Zakres bezpłatnego cyfrowego udostępnienia zasobów objętych projektem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712A1F">
        <w:rPr>
          <w:b/>
        </w:rPr>
        <w:t xml:space="preserve">Poziom dostępności zasobów względem wymagań określonych w WCAG 2.0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712A1F">
        <w:rPr>
          <w:b/>
        </w:rPr>
        <w:t xml:space="preserve">Standard metadanych opisujących zasoby cyfrowe udostępnione w projekcie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Poziom otwartości zasobów udostępnionych w projekcie w skali 5 Star Open Data – </w:t>
      </w:r>
      <w:r w:rsidRPr="00712A1F">
        <w:t>wnioskodawca powinien wskazać na jakim poziomie otwartości zasobów w skali 5 Star Open Data zostaną one udostępnione w projekcie..Należy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Opis interfejsów dla programistów (API) przewidzianych w projekcie oraz ich dokumentacji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B826EC">
        <w:rPr>
          <w:b/>
          <w:color w:val="000000"/>
          <w:lang w:eastAsia="pl-PL"/>
        </w:rPr>
        <w:t>Zakres udostępnionych danych surowych</w:t>
      </w:r>
      <w:r>
        <w:rPr>
          <w:b/>
          <w:color w:val="000000"/>
          <w:lang w:eastAsia="pl-PL"/>
        </w:rPr>
        <w:t xml:space="preserve">/źródłowych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podstawie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uzupełnieć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C67140" w:rsidRDefault="00C67140" w:rsidP="0082749F">
      <w:pPr>
        <w:rPr>
          <w:b/>
        </w:rPr>
      </w:pPr>
    </w:p>
    <w:p w:rsidR="00C67140" w:rsidRPr="00425735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 - </w:t>
      </w:r>
      <w:r w:rsidR="0081730E" w:rsidRPr="0081730E">
        <w:rPr>
          <w:lang w:eastAsia="fr-FR"/>
        </w:rPr>
        <w:t xml:space="preserve">należy opisać zgodność Projektu z zasadami horyzontalnymi </w:t>
      </w:r>
      <w:r w:rsidR="0081730E" w:rsidRPr="0081730E">
        <w:t>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</w:t>
      </w:r>
      <w:r w:rsidRPr="00425735">
        <w:rPr>
          <w:lang w:eastAsia="fr-FR"/>
        </w:rPr>
        <w:t xml:space="preserve"> zgodnie z art. 7 Rozporządzenia Parlamentu Europejskiego i Rady (UE) nr 1303/2013 z dnia 1</w:t>
      </w:r>
      <w:r>
        <w:rPr>
          <w:lang w:eastAsia="fr-FR"/>
        </w:rPr>
        <w:t xml:space="preserve">7 grudnia 2013 r.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</w:t>
      </w:r>
    </w:p>
    <w:p w:rsidR="00C67140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zrównoważonego </w:t>
      </w:r>
      <w:r>
        <w:rPr>
          <w:b/>
        </w:rPr>
        <w:t xml:space="preserve">Rozwoju </w:t>
      </w:r>
      <w:r w:rsidRPr="00425735">
        <w:rPr>
          <w:lang w:eastAsia="fr-FR"/>
        </w:rPr>
        <w:t xml:space="preserve">– w szczególności należy wskazać i uzasadnić, czy projekt będzie wymagał oceny oddziaływania na środowisko zgodnie z przepisami ustawy z dnia 3 października 2008 r. </w:t>
      </w:r>
      <w:r>
        <w:rPr>
          <w:lang w:eastAsia="fr-FR"/>
        </w:rPr>
        <w:br/>
      </w:r>
      <w:r w:rsidRPr="00425735">
        <w:rPr>
          <w:lang w:eastAsia="fr-FR"/>
        </w:rPr>
        <w:t>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="00200646" w:rsidRPr="0081730E"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Pr="00BD6881">
        <w:t>w ramach NSRO 2007-2013 lub bieżącej perspektywy finansowej 2014-2020, 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>należy opisać rodzaj powiązania projektu z projektami realizowanymi w ramach NSRO 2007-2013 lub bieżącej perspektywy finansowej 2014-2020 pod kątem wzajemnych zależności między projektami i ich efektami (maksymalnie 4000 znaków).</w:t>
      </w:r>
      <w:r>
        <w:t xml:space="preserve"> W przypadku występowania powiązań z więcej niż 1 projektem tabelę należy powielić.</w:t>
      </w:r>
    </w:p>
    <w:p w:rsidR="00C67140" w:rsidRPr="00C67140" w:rsidRDefault="00C67140" w:rsidP="0082749F"/>
    <w:p w:rsidR="000A02CF" w:rsidRDefault="00C67140">
      <w:pPr>
        <w:spacing w:after="200"/>
      </w:pPr>
      <w:r w:rsidRPr="00350C0A">
        <w:rPr>
          <w:b/>
        </w:rPr>
        <w:t>Rozwiązania alternatywne na wypadek opóźnień lub braku realizacji projek</w:t>
      </w:r>
      <w:r>
        <w:rPr>
          <w:b/>
        </w:rPr>
        <w:t>t</w:t>
      </w:r>
      <w:r w:rsidRPr="00350C0A">
        <w:rPr>
          <w:b/>
        </w:rPr>
        <w:t>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350C0A">
        <w:rPr>
          <w:b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Theme="minorHAnsi" w:hAnsiTheme="minorHAnsi"/>
        </w:rPr>
        <w:t>Cyfrowe udostępnienie zasobów nauki</w:t>
      </w:r>
      <w:r w:rsidR="00200646">
        <w:rPr>
          <w:rFonts w:asciiTheme="minorHAnsi" w:hAnsiTheme="minorHAnsi"/>
        </w:rPr>
        <w:t>”)/ administracji (</w:t>
      </w:r>
      <w:r w:rsidR="00200646">
        <w:t xml:space="preserve">dla typu Projektu </w:t>
      </w:r>
      <w:r w:rsidR="00200646">
        <w:rPr>
          <w:rFonts w:asciiTheme="minorHAnsi" w:hAnsiTheme="minorHAnsi"/>
        </w:rPr>
        <w:t>„</w:t>
      </w:r>
      <w:r w:rsidR="00200646" w:rsidRPr="002B45AE">
        <w:rPr>
          <w:rFonts w:asciiTheme="minorHAnsi" w:hAnsiTheme="minorHAnsi"/>
        </w:rPr>
        <w:t>Cyfrowe udostępnienie ISP ze źródeł administracyjnych</w:t>
      </w:r>
      <w:r w:rsidR="00200646">
        <w:rPr>
          <w:rFonts w:asciiTheme="minorHAnsi" w:hAnsiTheme="minorHAnsi"/>
        </w:rPr>
        <w:t xml:space="preserve">”) </w:t>
      </w:r>
      <w:r w:rsidR="00200646" w:rsidRPr="0081730E">
        <w:t xml:space="preserve">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350C0A">
        <w:rPr>
          <w:b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Nie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tak </w:t>
      </w:r>
      <w:r w:rsidR="00C67140" w:rsidRPr="005B4E4D">
        <w:t>–</w:t>
      </w:r>
      <w:r w:rsidRPr="0081730E">
        <w:t xml:space="preserve"> luka w finansowaniu,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81730E">
        <w:rPr>
          <w:b/>
          <w:color w:val="1D1B11"/>
        </w:rPr>
        <w:t>Przygotowanie do realizacji pod względem zgodności z otoczeniem prawnym</w:t>
      </w:r>
      <w:r w:rsidR="00C67140" w:rsidRPr="00344EF3" w:rsidDel="00350C0A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Default="00C67140" w:rsidP="003A1225">
      <w:pPr>
        <w:spacing w:before="120"/>
        <w:rPr>
          <w:lang w:eastAsia="pl-PL"/>
        </w:rPr>
      </w:pPr>
      <w:r w:rsidRPr="00C71D16">
        <w:rPr>
          <w:b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Default="00C67140" w:rsidP="00580A74">
      <w:pPr>
        <w:rPr>
          <w:b/>
        </w:rPr>
      </w:pPr>
    </w:p>
    <w:p w:rsidR="00C67140" w:rsidRPr="001E283E" w:rsidRDefault="00C67140" w:rsidP="00580A74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Wpisywanie się </w:t>
      </w:r>
      <w:r w:rsidRPr="007A4148">
        <w:rPr>
          <w:b/>
        </w:rPr>
        <w:t>ISP udostępnia</w:t>
      </w:r>
      <w:r>
        <w:rPr>
          <w:b/>
        </w:rPr>
        <w:t>nych</w:t>
      </w:r>
      <w:r w:rsidRPr="007A4148">
        <w:rPr>
          <w:b/>
        </w:rPr>
        <w:t xml:space="preserve">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580A7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C67140" w:rsidRPr="003A1225" w:rsidRDefault="00C67140" w:rsidP="003A1225">
      <w:pPr>
        <w:spacing w:before="120"/>
        <w:rPr>
          <w:lang w:eastAsia="pl-PL"/>
        </w:rPr>
      </w:pPr>
    </w:p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 xml:space="preserve">. Zakres rzeczowy 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>dotyczących opisu planowanych działań do 600 znaków w polach dotyczących nazw zadań)</w:t>
      </w:r>
    </w:p>
    <w:p w:rsidR="000A02CF" w:rsidRDefault="00C67140">
      <w:r>
        <w:t>Z uwagi na brak możliwości rozliczania kosztów metodami ryczałtowymi, wartości w polach „Wydatki rzeczywiście poniesione” oraz „Wydatki rozliczane ryczałtowo” są zablokowane na wartościach odpowiednio „tak” oraz „nie”.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49F">
      <w:r w:rsidRPr="002B11CB">
        <w:rPr>
          <w:b/>
          <w:u w:val="single"/>
        </w:rPr>
        <w:t xml:space="preserve">W tabeli należy przedstawić planowany przebieg projektu w podziale na zadania i kamienie milowe. Kamienie milowe </w:t>
      </w:r>
      <w:r w:rsidRPr="002B11CB">
        <w:t>powinny uwzględniać w szczególności:</w:t>
      </w:r>
      <w:r w:rsidRPr="002B11CB">
        <w:rPr>
          <w:b/>
        </w:rPr>
        <w:t xml:space="preserve">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rozpoczęcie postępowań w celu wyłonienia wykonawców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podpisanie umów z dostawcami,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zakończenie ważnych grup zadań prowadzących do wytworzenia produktów projektu np. przygotowanie prototypów, uruchomienie środowiska testowego, rozpoczęcie i zakończenie testów, przeprowadzenie instruktaży stanowiskowych i szkoleń.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głównych produktów projektu w tym: dokumentacji technicznej, sprzętu </w:t>
      </w:r>
      <w:r w:rsidRPr="002B11CB">
        <w:br/>
        <w:t>i oprogramowania,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dokumentacji powykonawczej,</w:t>
      </w:r>
    </w:p>
    <w:p w:rsidR="00C67140" w:rsidRPr="002B11CB" w:rsidRDefault="00C67140">
      <w:pPr>
        <w:tabs>
          <w:tab w:val="left" w:pos="7889"/>
        </w:tabs>
      </w:pPr>
      <w:r w:rsidRPr="002B11CB">
        <w:t xml:space="preserve">Zadania/kamienie milowe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2B11CB">
        <w:t>Data rozpoczęcia – (wartość wypełniana dla zadań, pole jest zablokowane dla kamieni milowych) data rozpoczęcia prac związanych z realizacją danego zadania (w zależności od specyfiki zadania mogą to być równe daty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2B11CB">
        <w:t>Czy kamień oznacza zakończenie zadania? TAK/NIE - należy określić, czy kamień milowy oznacza zakończenie zadania, czy też nie (tj. wiąże się z ukończeniem części prac w ramach zadania).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2B11CB">
        <w:t>Data punktu krytycznego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2B11CB">
        <w:t>Data punktu ostatecznego – termin, po przekroczeniu którego dla danego zadania/kamienia milowego nie ma możliwości zrealizowania tego zadania/kamienia milowego bądź projektu zgodnie z założeniami.</w:t>
      </w:r>
    </w:p>
    <w:p w:rsidR="00C67140" w:rsidRPr="0019520D" w:rsidRDefault="00C67140" w:rsidP="00606B81">
      <w:pPr>
        <w:tabs>
          <w:tab w:val="left" w:pos="7889"/>
        </w:tabs>
        <w:rPr>
          <w:highlight w:val="yellow"/>
        </w:rPr>
      </w:pP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 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Kategoria kosztów/podkategoria</w:t>
      </w:r>
      <w:r w:rsidRPr="00416611">
        <w:t xml:space="preserve"> - należy wskazać kategorię oraz podkategorię kosztów zgodną z Wytycznymi do kwalifikowalności wydatków POPC,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19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może skutkować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podczas oceny wniosku o dofinansowanie.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Default="00C67140" w:rsidP="00D1487F">
      <w:pPr>
        <w:pStyle w:val="Akapitzlist"/>
        <w:ind w:left="360"/>
        <w:rPr>
          <w:u w:val="single"/>
        </w:rPr>
      </w:pPr>
      <w:r w:rsidRPr="00416611">
        <w:rPr>
          <w:u w:val="single"/>
        </w:rPr>
        <w:t>Cross-financing (T/N)</w:t>
      </w:r>
      <w:r w:rsidR="0081730E" w:rsidRPr="0081730E">
        <w:rPr>
          <w:u w:val="single"/>
        </w:rPr>
        <w:t xml:space="preserve"> - pole do wyboru &lt;tak/nie&gt; - należy zaznaczyć właściwe. Wskazanie wartości „T” powoduje konieczność uzupełnienia punktu 20c. Uzasadnienie dla cross-financingu oraz wskazanie w punkcie 3. Klasyfikacja </w:t>
      </w:r>
      <w:r>
        <w:rPr>
          <w:u w:val="single"/>
        </w:rPr>
        <w:t xml:space="preserve">Projektu w polu </w:t>
      </w:r>
      <w:r w:rsidR="0081730E" w:rsidRPr="0081730E">
        <w:rPr>
          <w:u w:val="single"/>
        </w:rPr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956CB1">
        <w:rPr>
          <w:u w:val="single"/>
        </w:rPr>
        <w:br/>
      </w:r>
      <w:r w:rsidR="0081730E" w:rsidRPr="0081730E">
        <w:rPr>
          <w:u w:val="single"/>
        </w:rPr>
        <w:t>z EFRR)”</w:t>
      </w:r>
    </w:p>
    <w:p w:rsidR="00C67140" w:rsidRDefault="0042147E" w:rsidP="00817EA1">
      <w:pPr>
        <w:pStyle w:val="Akapitzlist"/>
        <w:numPr>
          <w:ilvl w:val="0"/>
          <w:numId w:val="2"/>
        </w:numPr>
      </w:pPr>
      <w:r>
        <w:rPr>
          <w:u w:val="single"/>
        </w:rPr>
        <w:t>Charakter wsparcia</w:t>
      </w:r>
      <w:r w:rsidR="00C67140" w:rsidRPr="00416611">
        <w:rPr>
          <w:u w:val="single"/>
        </w:rPr>
        <w:t xml:space="preserve"> 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817EA1">
      <w:pPr>
        <w:pStyle w:val="Akapitzlist"/>
        <w:numPr>
          <w:ilvl w:val="0"/>
          <w:numId w:val="2"/>
        </w:numPr>
        <w:rPr>
          <w:u w:val="single"/>
        </w:rPr>
      </w:pPr>
      <w:r w:rsidRPr="00C71D16">
        <w:rPr>
          <w:b/>
        </w:rPr>
        <w:t>Podmiot ponoszący wydatki</w:t>
      </w:r>
      <w:r w:rsidRPr="00C71D16">
        <w:rPr>
          <w:u w:val="single"/>
        </w:rPr>
        <w:t xml:space="preserve"> </w:t>
      </w:r>
      <w:r w:rsidRPr="00C71D16">
        <w:t>– należy wskazać podmiot, który poniesie dany wydatek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0A02CF" w:rsidRDefault="000A02CF">
      <w:pPr>
        <w:pStyle w:val="Akapitzlist"/>
        <w:ind w:left="360"/>
      </w:pPr>
    </w:p>
    <w:p w:rsidR="00C67140" w:rsidRPr="00C67140" w:rsidRDefault="0081730E">
      <w:r w:rsidRPr="0081730E">
        <w:t xml:space="preserve">Wydatki rozliczane ryczałtowo </w:t>
      </w:r>
      <w:r w:rsidR="00C67140" w:rsidRPr="005B4E4D">
        <w:t>–</w:t>
      </w:r>
      <w:r w:rsidRPr="0081730E">
        <w:t xml:space="preserve"> z uwagi na brak możliwości rozliczania wydatków metodami ryczałtowymi blok zablokowany do edycji.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6F67E9">
      <w:r>
        <w:t xml:space="preserve"> </w:t>
      </w:r>
    </w:p>
    <w:p w:rsidR="001005A1" w:rsidRDefault="00A369F5">
      <w:r>
        <w:t xml:space="preserve">W przypadku występowania pomocy publicznej lub pomocy de minimis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tj, 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Pr="0019520D" w:rsidRDefault="0027615A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finansowaną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>% dofinansowania wydatków kwalifikowanych z EFRR zgodny z zasadami finansowania określonymi dla 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1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Pr="000B648C">
        <w:t xml:space="preserve">w </w:t>
      </w:r>
      <w:r w:rsidRPr="00C71D16">
        <w:t>punkcie 26 wniosku montażem finansowym</w:t>
      </w:r>
      <w:r w:rsidRPr="00540B3D">
        <w:t xml:space="preserve"> projektu,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>należy podać dane analogiczne jak w pkt 22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C67140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C67140" w:rsidP="00F45FC5">
      <w:pPr>
        <w:rPr>
          <w:b/>
        </w:rPr>
      </w:pPr>
      <w:r>
        <w:rPr>
          <w:b/>
        </w:rPr>
        <w:t>27</w:t>
      </w:r>
      <w:r w:rsidRPr="004314A8">
        <w:rPr>
          <w:b/>
        </w:rPr>
        <w:t xml:space="preserve">. Koncepcja promocji projektu </w:t>
      </w:r>
    </w:p>
    <w:p w:rsidR="00C67140" w:rsidRDefault="00C67140" w:rsidP="00F45FC5">
      <w:r>
        <w:rPr>
          <w:b/>
        </w:rPr>
        <w:t>Opis planow</w:t>
      </w:r>
      <w:r w:rsidR="00DF7754">
        <w:rPr>
          <w:b/>
        </w:rPr>
        <w:t>a</w:t>
      </w:r>
      <w:r>
        <w:rPr>
          <w:b/>
        </w:rPr>
        <w:t xml:space="preserve">nych działań informacyjno-promocyjnych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 xml:space="preserve"> 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>W punkcie tym należy również wybrać jeden rodzaj Projektu, dla którego zostaną uzupełnione obligatoryjne elementy Promocji do realizacji. Ponadto Beneficjent ma możliwość wybrania działań rekomendowanych, które chce zrealizować jako działania uzupełniające w ramach Projektu zgodnie z macierzą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1717"/>
        <w:gridCol w:w="1930"/>
        <w:gridCol w:w="1867"/>
        <w:gridCol w:w="1700"/>
      </w:tblGrid>
      <w:tr w:rsidR="00C67140" w:rsidRPr="00001799" w:rsidTr="007F5618">
        <w:trPr>
          <w:trHeight w:val="1590"/>
        </w:trPr>
        <w:tc>
          <w:tcPr>
            <w:tcW w:w="1116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Rodzaje Projektów</w:t>
            </w:r>
          </w:p>
        </w:tc>
        <w:tc>
          <w:tcPr>
            <w:tcW w:w="92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</w:t>
            </w:r>
            <w:r>
              <w:rPr>
                <w:color w:val="000000"/>
                <w:lang w:eastAsia="en-GB"/>
              </w:rPr>
              <w:t>*</w:t>
            </w:r>
            <w:r w:rsidRPr="00127793">
              <w:rPr>
                <w:color w:val="000000"/>
                <w:lang w:eastAsia="en-GB"/>
              </w:rPr>
              <w:t xml:space="preserve"> w projekt jest równy lub mniejszy niż 500 tys. euro</w:t>
            </w:r>
          </w:p>
        </w:tc>
        <w:tc>
          <w:tcPr>
            <w:tcW w:w="1039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</w:t>
            </w:r>
            <w:r>
              <w:rPr>
                <w:color w:val="000000"/>
                <w:lang w:eastAsia="en-GB"/>
              </w:rPr>
              <w:t xml:space="preserve"> </w:t>
            </w:r>
            <w:r w:rsidRPr="00127793">
              <w:rPr>
                <w:color w:val="000000"/>
                <w:lang w:eastAsia="en-GB"/>
              </w:rPr>
              <w:t>euro oraz:                                                   - projekt  nie dotyczy zakupu środków trwałych                                - projekt  nie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                             </w:t>
            </w:r>
          </w:p>
        </w:tc>
        <w:tc>
          <w:tcPr>
            <w:tcW w:w="100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oraz:                                  - projekt jest współfinansowany z EFRR lub FS                                             - projekt 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</w:t>
            </w:r>
          </w:p>
        </w:tc>
        <w:tc>
          <w:tcPr>
            <w:tcW w:w="914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 projekt dotyczy zakupu środków trwałych</w:t>
            </w:r>
          </w:p>
        </w:tc>
      </w:tr>
      <w:tr w:rsidR="00C67140" w:rsidRPr="00001799" w:rsidTr="00527923">
        <w:trPr>
          <w:trHeight w:val="390"/>
        </w:trPr>
        <w:tc>
          <w:tcPr>
            <w:tcW w:w="5000" w:type="pct"/>
            <w:gridSpan w:val="5"/>
            <w:shd w:val="pct25" w:color="auto" w:fill="auto"/>
            <w:noWrap/>
          </w:tcPr>
          <w:p w:rsidR="00C67140" w:rsidRDefault="00C67140">
            <w:pPr>
              <w:tabs>
                <w:tab w:val="left" w:pos="3559"/>
              </w:tabs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b/>
                <w:bCs/>
                <w:color w:val="000000"/>
                <w:lang w:val="en-GB" w:eastAsia="en-GB"/>
              </w:rPr>
              <w:t xml:space="preserve">Obowiązki </w:t>
            </w:r>
            <w:r>
              <w:rPr>
                <w:b/>
                <w:bCs/>
                <w:color w:val="000000"/>
                <w:lang w:val="en-GB" w:eastAsia="en-GB"/>
              </w:rPr>
              <w:t>B</w:t>
            </w:r>
            <w:r w:rsidRPr="00127793">
              <w:rPr>
                <w:b/>
                <w:bCs/>
                <w:color w:val="000000"/>
                <w:lang w:val="en-GB" w:eastAsia="en-GB"/>
              </w:rPr>
              <w:t>eneficjenta</w:t>
            </w:r>
            <w:r w:rsidRPr="00127793">
              <w:rPr>
                <w:color w:val="000000"/>
                <w:lang w:val="en-GB" w:eastAsia="en-GB"/>
              </w:rPr>
              <w:t xml:space="preserve">              </w:t>
            </w:r>
          </w:p>
        </w:tc>
      </w:tr>
      <w:tr w:rsidR="00C67140" w:rsidRPr="00001799" w:rsidTr="007F5618">
        <w:trPr>
          <w:trHeight w:val="103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Oznaczanie swoich działań informacyjno-promocyjnych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Oznaczanie dokumentów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93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Informowanie uczestników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160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Umieszczenie opisu projektu na  swojej stronie www ( jeśli beneficjent ma stron</w:t>
            </w:r>
            <w:r>
              <w:rPr>
                <w:color w:val="000000"/>
                <w:lang w:eastAsia="en-GB"/>
              </w:rPr>
              <w:t>ę</w:t>
            </w:r>
            <w:r w:rsidRPr="00127793">
              <w:rPr>
                <w:color w:val="000000"/>
                <w:lang w:eastAsia="en-GB"/>
              </w:rPr>
              <w:t xml:space="preserve"> internetową)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Plakat A3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7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Tablica informacyjna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312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Tablica pamiątkowa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eastAsia="en-GB"/>
              </w:rPr>
            </w:pPr>
            <w:r w:rsidRPr="00127793">
              <w:rPr>
                <w:b/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527923">
        <w:trPr>
          <w:trHeight w:val="735"/>
        </w:trPr>
        <w:tc>
          <w:tcPr>
            <w:tcW w:w="5000" w:type="pct"/>
            <w:gridSpan w:val="5"/>
            <w:shd w:val="pct25" w:color="000000" w:fill="FFFFFF"/>
            <w:vAlign w:val="bottom"/>
          </w:tcPr>
          <w:p w:rsidR="00C67140" w:rsidRPr="00127793" w:rsidRDefault="00C67140" w:rsidP="006A06A2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Rekomendowane (</w:t>
            </w:r>
            <w:r>
              <w:rPr>
                <w:b/>
                <w:bCs/>
                <w:color w:val="000000"/>
                <w:lang w:eastAsia="en-GB"/>
              </w:rPr>
              <w:t>dodatkowe</w:t>
            </w:r>
            <w:r w:rsidRPr="00127793">
              <w:rPr>
                <w:b/>
                <w:bCs/>
                <w:color w:val="000000"/>
                <w:lang w:eastAsia="en-GB"/>
              </w:rPr>
              <w:t xml:space="preserve">) działania informacyjne i promocyjne </w:t>
            </w:r>
          </w:p>
        </w:tc>
      </w:tr>
      <w:tr w:rsidR="00C67140" w:rsidRPr="00001799" w:rsidTr="007F5618">
        <w:trPr>
          <w:trHeight w:val="124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</w:t>
            </w:r>
            <w:r w:rsidRPr="00127793">
              <w:rPr>
                <w:color w:val="000000"/>
                <w:lang w:eastAsia="en-GB"/>
              </w:rPr>
              <w:t>aklejki lub tabliczki na maszynach, urządzeniach znacznej wartości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4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 xml:space="preserve">rzygotowanie szerszej informacji o projekcie i jej aktualizacja na stronie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8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dokumentacji fotograficznej projektu i jej umieszczenie na stronach</w:t>
            </w:r>
            <w:r w:rsidRPr="00127793">
              <w:rPr>
                <w:color w:val="000000"/>
                <w:lang w:eastAsia="en-GB"/>
              </w:rPr>
              <w:br/>
              <w:t>internetowych beneficjenta,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0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P</w:t>
            </w:r>
            <w:r w:rsidRPr="00127793">
              <w:rPr>
                <w:color w:val="000000"/>
                <w:lang w:val="en-GB" w:eastAsia="en-GB"/>
              </w:rPr>
              <w:t>rzygotowanie strony internetowej projektu,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</w:t>
            </w:r>
            <w:r w:rsidRPr="00127793">
              <w:rPr>
                <w:color w:val="000000"/>
                <w:lang w:val="en-GB" w:eastAsia="en-GB"/>
              </w:rPr>
              <w:t>ziałania w mediach społecznościowych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informacji prasow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i przekaz</w:t>
            </w:r>
            <w:r>
              <w:rPr>
                <w:color w:val="000000"/>
                <w:lang w:eastAsia="en-GB"/>
              </w:rPr>
              <w:t>ywanie</w:t>
            </w:r>
            <w:r w:rsidRPr="00127793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ich</w:t>
            </w:r>
            <w:r w:rsidRPr="00127793">
              <w:rPr>
                <w:color w:val="000000"/>
                <w:lang w:eastAsia="en-GB"/>
              </w:rPr>
              <w:t xml:space="preserve"> mediom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>rganizacja spotka</w:t>
            </w:r>
            <w:r>
              <w:rPr>
                <w:color w:val="000000"/>
                <w:lang w:eastAsia="en-GB"/>
              </w:rPr>
              <w:t xml:space="preserve">ń </w:t>
            </w:r>
            <w:r w:rsidRPr="00127793">
              <w:rPr>
                <w:color w:val="000000"/>
                <w:lang w:eastAsia="en-GB"/>
              </w:rPr>
              <w:t>informacyjn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dla zainteresowanych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90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O</w:t>
            </w:r>
            <w:r w:rsidRPr="00127793">
              <w:rPr>
                <w:color w:val="000000"/>
                <w:lang w:val="en-GB" w:eastAsia="en-GB"/>
              </w:rPr>
              <w:t>rganizacja konferencji prasow</w:t>
            </w:r>
            <w:r>
              <w:rPr>
                <w:color w:val="000000"/>
                <w:lang w:val="en-GB" w:eastAsia="en-GB"/>
              </w:rPr>
              <w:t>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09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</w:t>
            </w:r>
            <w:r w:rsidRPr="00127793">
              <w:rPr>
                <w:color w:val="000000"/>
                <w:lang w:eastAsia="en-GB"/>
              </w:rPr>
              <w:t>dział w audycjach telewizyjnych i radiowych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23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rezentacja projektu na spotkaniach, konferencjach, targach branżowych, wydarzeniach promujących projekty unijne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</w:t>
            </w:r>
            <w:r w:rsidRPr="00127793">
              <w:rPr>
                <w:color w:val="000000"/>
                <w:lang w:eastAsia="en-GB"/>
              </w:rPr>
              <w:t>nne publiczne wypowiedzi na temat projektu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</w:t>
            </w:r>
            <w:r w:rsidRPr="00127793">
              <w:rPr>
                <w:color w:val="000000"/>
                <w:lang w:eastAsia="en-GB"/>
              </w:rPr>
              <w:t xml:space="preserve"> uzasadnionych przypadkach wytwarzanie drobnych przedmiotów 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1770"/>
        </w:trPr>
        <w:tc>
          <w:tcPr>
            <w:tcW w:w="1116" w:type="pct"/>
            <w:shd w:val="pct25" w:color="auto" w:fill="auto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 xml:space="preserve">Inne □ </w:t>
            </w:r>
            <w:r w:rsidRPr="00127793">
              <w:rPr>
                <w:color w:val="000000"/>
                <w:lang w:eastAsia="en-GB"/>
              </w:rPr>
              <w:br/>
              <w:t>&lt;tekst&gt; (maksymalnie 2000 znaków na koncepcję)</w:t>
            </w:r>
          </w:p>
        </w:tc>
        <w:tc>
          <w:tcPr>
            <w:tcW w:w="3884" w:type="pct"/>
            <w:gridSpan w:val="4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780"/>
        </w:trPr>
        <w:tc>
          <w:tcPr>
            <w:tcW w:w="5000" w:type="pct"/>
            <w:gridSpan w:val="5"/>
            <w:shd w:val="pct25" w:color="auto" w:fill="auto"/>
            <w:vAlign w:val="bottom"/>
          </w:tcPr>
          <w:p w:rsidR="000A02CF" w:rsidRDefault="00C67140">
            <w:pPr>
              <w:spacing w:line="240" w:lineRule="auto"/>
              <w:ind w:left="142"/>
              <w:jc w:val="left"/>
              <w:rPr>
                <w:color w:val="000000"/>
                <w:lang w:eastAsia="en-GB"/>
              </w:rPr>
            </w:pPr>
            <w:r w:rsidRPr="009D6EFC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 xml:space="preserve">* </w:t>
            </w:r>
            <w:r w:rsidR="0081730E" w:rsidRPr="0081730E">
              <w:rPr>
                <w:color w:val="000000"/>
                <w:lang w:eastAsia="en-GB"/>
              </w:rPr>
              <w:t>Wkład Publiczny - to pieniądze pochodzące zarówno z funduszy unijnych, jak i z budżetu państwa lub samorządu. Wysokość wkładu publicznego jest określona w umowie lub decyzji o dofinansowaniu.</w:t>
            </w:r>
          </w:p>
        </w:tc>
      </w:tr>
    </w:tbl>
    <w:p w:rsidR="00C67140" w:rsidRDefault="00C67140" w:rsidP="00F45FC5"/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2C66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A1" w:rsidRDefault="001005A1">
      <w:r>
        <w:separator/>
      </w:r>
    </w:p>
  </w:endnote>
  <w:endnote w:type="continuationSeparator" w:id="0">
    <w:p w:rsidR="001005A1" w:rsidRDefault="001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1" w:rsidRDefault="004304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23EC">
      <w:rPr>
        <w:noProof/>
      </w:rPr>
      <w:t>15</w:t>
    </w:r>
    <w:r>
      <w:rPr>
        <w:noProof/>
      </w:rPr>
      <w:fldChar w:fldCharType="end"/>
    </w:r>
  </w:p>
  <w:p w:rsidR="001005A1" w:rsidRDefault="00100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A1" w:rsidRDefault="001005A1">
      <w:r>
        <w:separator/>
      </w:r>
    </w:p>
  </w:footnote>
  <w:footnote w:type="continuationSeparator" w:id="0">
    <w:p w:rsidR="001005A1" w:rsidRDefault="001005A1">
      <w:r>
        <w:continuationSeparator/>
      </w:r>
    </w:p>
  </w:footnote>
  <w:footnote w:id="1">
    <w:p w:rsidR="001005A1" w:rsidRDefault="001005A1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systemu SL2014, w umowie/porozumieniu o dofinansowanie wkład własny definiowany jest jako różnica pomiędzy kwotą wydatków kwalifikowalnych a dofinansowaniem.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8"/>
  </w:num>
  <w:num w:numId="15">
    <w:abstractNumId w:val="11"/>
  </w:num>
  <w:num w:numId="16">
    <w:abstractNumId w:val="3"/>
  </w:num>
  <w:num w:numId="17">
    <w:abstractNumId w:val="17"/>
  </w:num>
  <w:num w:numId="18">
    <w:abstractNumId w:val="18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CE0"/>
    <w:rsid w:val="00020B35"/>
    <w:rsid w:val="00020BB9"/>
    <w:rsid w:val="00021D8D"/>
    <w:rsid w:val="000220B1"/>
    <w:rsid w:val="000232DF"/>
    <w:rsid w:val="00027136"/>
    <w:rsid w:val="00032F78"/>
    <w:rsid w:val="00034CAF"/>
    <w:rsid w:val="00036B1E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6045E"/>
    <w:rsid w:val="00062491"/>
    <w:rsid w:val="00062C86"/>
    <w:rsid w:val="00063E4A"/>
    <w:rsid w:val="00066283"/>
    <w:rsid w:val="00067639"/>
    <w:rsid w:val="00072F4F"/>
    <w:rsid w:val="00077B31"/>
    <w:rsid w:val="00080DF9"/>
    <w:rsid w:val="00082A70"/>
    <w:rsid w:val="000842E4"/>
    <w:rsid w:val="0008584C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52E5"/>
    <w:rsid w:val="000A760F"/>
    <w:rsid w:val="000A7F52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1637"/>
    <w:rsid w:val="000F581F"/>
    <w:rsid w:val="000F7163"/>
    <w:rsid w:val="000F771D"/>
    <w:rsid w:val="001005A1"/>
    <w:rsid w:val="001006F7"/>
    <w:rsid w:val="0010231E"/>
    <w:rsid w:val="001033E1"/>
    <w:rsid w:val="001035B0"/>
    <w:rsid w:val="001045A7"/>
    <w:rsid w:val="001056F3"/>
    <w:rsid w:val="0010642F"/>
    <w:rsid w:val="001066DD"/>
    <w:rsid w:val="0010794E"/>
    <w:rsid w:val="0011084A"/>
    <w:rsid w:val="0011288C"/>
    <w:rsid w:val="00114C82"/>
    <w:rsid w:val="00114C84"/>
    <w:rsid w:val="00116B17"/>
    <w:rsid w:val="001171DE"/>
    <w:rsid w:val="001177A4"/>
    <w:rsid w:val="001205D7"/>
    <w:rsid w:val="001229AC"/>
    <w:rsid w:val="00122F99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40A3"/>
    <w:rsid w:val="00146FF1"/>
    <w:rsid w:val="00147DA4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70981"/>
    <w:rsid w:val="00171550"/>
    <w:rsid w:val="0017212C"/>
    <w:rsid w:val="001729C9"/>
    <w:rsid w:val="00173281"/>
    <w:rsid w:val="00173F2A"/>
    <w:rsid w:val="00174917"/>
    <w:rsid w:val="00174CC0"/>
    <w:rsid w:val="001769AC"/>
    <w:rsid w:val="00177B54"/>
    <w:rsid w:val="00180C09"/>
    <w:rsid w:val="001843B6"/>
    <w:rsid w:val="00184566"/>
    <w:rsid w:val="001869E6"/>
    <w:rsid w:val="00190FEB"/>
    <w:rsid w:val="00191316"/>
    <w:rsid w:val="00191BDE"/>
    <w:rsid w:val="001941B8"/>
    <w:rsid w:val="0019520D"/>
    <w:rsid w:val="00195AD9"/>
    <w:rsid w:val="0019660E"/>
    <w:rsid w:val="001A2868"/>
    <w:rsid w:val="001A3AB3"/>
    <w:rsid w:val="001A3EB2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C0C39"/>
    <w:rsid w:val="001C3DA9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43DA"/>
    <w:rsid w:val="001E5711"/>
    <w:rsid w:val="001E71F1"/>
    <w:rsid w:val="001F3F12"/>
    <w:rsid w:val="001F640E"/>
    <w:rsid w:val="001F72EF"/>
    <w:rsid w:val="00200646"/>
    <w:rsid w:val="00200B72"/>
    <w:rsid w:val="00203F5E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60E8"/>
    <w:rsid w:val="00216A3B"/>
    <w:rsid w:val="002205D7"/>
    <w:rsid w:val="002268C0"/>
    <w:rsid w:val="00227DC8"/>
    <w:rsid w:val="00232234"/>
    <w:rsid w:val="002337CE"/>
    <w:rsid w:val="00233F66"/>
    <w:rsid w:val="00235694"/>
    <w:rsid w:val="00237943"/>
    <w:rsid w:val="00242103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609E"/>
    <w:rsid w:val="0027615A"/>
    <w:rsid w:val="00277DA1"/>
    <w:rsid w:val="00281B54"/>
    <w:rsid w:val="00281F94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51E9"/>
    <w:rsid w:val="002E55B2"/>
    <w:rsid w:val="002E61E7"/>
    <w:rsid w:val="002E69DA"/>
    <w:rsid w:val="002E7EA4"/>
    <w:rsid w:val="002F056A"/>
    <w:rsid w:val="002F0906"/>
    <w:rsid w:val="002F1B27"/>
    <w:rsid w:val="002F3FF9"/>
    <w:rsid w:val="002F481F"/>
    <w:rsid w:val="002F4C8A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302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414AE"/>
    <w:rsid w:val="00344EF3"/>
    <w:rsid w:val="00347184"/>
    <w:rsid w:val="003509A7"/>
    <w:rsid w:val="00350C0A"/>
    <w:rsid w:val="003525B4"/>
    <w:rsid w:val="003525C4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4B5"/>
    <w:rsid w:val="00384B00"/>
    <w:rsid w:val="00390BBE"/>
    <w:rsid w:val="00391CA5"/>
    <w:rsid w:val="00394051"/>
    <w:rsid w:val="003945A6"/>
    <w:rsid w:val="003946CC"/>
    <w:rsid w:val="00396BEF"/>
    <w:rsid w:val="003A0C56"/>
    <w:rsid w:val="003A1225"/>
    <w:rsid w:val="003A1A9A"/>
    <w:rsid w:val="003A2CF2"/>
    <w:rsid w:val="003A4AA2"/>
    <w:rsid w:val="003B1257"/>
    <w:rsid w:val="003B1755"/>
    <w:rsid w:val="003C0D12"/>
    <w:rsid w:val="003C2CD0"/>
    <w:rsid w:val="003C3A53"/>
    <w:rsid w:val="003C3A81"/>
    <w:rsid w:val="003C610E"/>
    <w:rsid w:val="003D13F0"/>
    <w:rsid w:val="003D1F89"/>
    <w:rsid w:val="003D3E13"/>
    <w:rsid w:val="003D644D"/>
    <w:rsid w:val="003D6922"/>
    <w:rsid w:val="003E0484"/>
    <w:rsid w:val="003E18A5"/>
    <w:rsid w:val="003E2B9B"/>
    <w:rsid w:val="003E4739"/>
    <w:rsid w:val="003E58C3"/>
    <w:rsid w:val="003E63AA"/>
    <w:rsid w:val="003E7F49"/>
    <w:rsid w:val="003F2385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94A"/>
    <w:rsid w:val="00450ADE"/>
    <w:rsid w:val="00451B67"/>
    <w:rsid w:val="00452886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1996"/>
    <w:rsid w:val="00494489"/>
    <w:rsid w:val="00494F82"/>
    <w:rsid w:val="004A1063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E09E4"/>
    <w:rsid w:val="004E2B90"/>
    <w:rsid w:val="004E40FB"/>
    <w:rsid w:val="004E7641"/>
    <w:rsid w:val="004E7D3C"/>
    <w:rsid w:val="004F097F"/>
    <w:rsid w:val="004F1A33"/>
    <w:rsid w:val="004F30B7"/>
    <w:rsid w:val="004F4A71"/>
    <w:rsid w:val="004F7513"/>
    <w:rsid w:val="005050BA"/>
    <w:rsid w:val="00505294"/>
    <w:rsid w:val="00505D4F"/>
    <w:rsid w:val="00514584"/>
    <w:rsid w:val="00514BA0"/>
    <w:rsid w:val="00521CDB"/>
    <w:rsid w:val="00523651"/>
    <w:rsid w:val="00525204"/>
    <w:rsid w:val="00525725"/>
    <w:rsid w:val="00527923"/>
    <w:rsid w:val="005303EA"/>
    <w:rsid w:val="00532865"/>
    <w:rsid w:val="00536301"/>
    <w:rsid w:val="00537FEC"/>
    <w:rsid w:val="00540B3D"/>
    <w:rsid w:val="00543AC5"/>
    <w:rsid w:val="00544826"/>
    <w:rsid w:val="00545B73"/>
    <w:rsid w:val="005461E3"/>
    <w:rsid w:val="0054647C"/>
    <w:rsid w:val="005503EA"/>
    <w:rsid w:val="0055293C"/>
    <w:rsid w:val="005556EA"/>
    <w:rsid w:val="00556B76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3DB"/>
    <w:rsid w:val="00590A08"/>
    <w:rsid w:val="0059261E"/>
    <w:rsid w:val="00594278"/>
    <w:rsid w:val="00596AA6"/>
    <w:rsid w:val="005A06B6"/>
    <w:rsid w:val="005A087E"/>
    <w:rsid w:val="005A218A"/>
    <w:rsid w:val="005A5DD1"/>
    <w:rsid w:val="005A63E2"/>
    <w:rsid w:val="005A78D9"/>
    <w:rsid w:val="005B0220"/>
    <w:rsid w:val="005B0488"/>
    <w:rsid w:val="005B1175"/>
    <w:rsid w:val="005B4329"/>
    <w:rsid w:val="005B4E4D"/>
    <w:rsid w:val="005B4E4E"/>
    <w:rsid w:val="005C0536"/>
    <w:rsid w:val="005C0FDF"/>
    <w:rsid w:val="005C4F5E"/>
    <w:rsid w:val="005C6DA3"/>
    <w:rsid w:val="005D2501"/>
    <w:rsid w:val="005D2EB0"/>
    <w:rsid w:val="005D51D6"/>
    <w:rsid w:val="005D5BDB"/>
    <w:rsid w:val="005E02B8"/>
    <w:rsid w:val="005E0D7C"/>
    <w:rsid w:val="005E4A7C"/>
    <w:rsid w:val="005E52AB"/>
    <w:rsid w:val="005E770B"/>
    <w:rsid w:val="005F282F"/>
    <w:rsid w:val="005F32F2"/>
    <w:rsid w:val="005F3920"/>
    <w:rsid w:val="005F3F29"/>
    <w:rsid w:val="005F406D"/>
    <w:rsid w:val="005F47BB"/>
    <w:rsid w:val="006017EE"/>
    <w:rsid w:val="00602133"/>
    <w:rsid w:val="00602E97"/>
    <w:rsid w:val="006032C2"/>
    <w:rsid w:val="00606953"/>
    <w:rsid w:val="00606B81"/>
    <w:rsid w:val="00611587"/>
    <w:rsid w:val="00613012"/>
    <w:rsid w:val="0061410D"/>
    <w:rsid w:val="006161D8"/>
    <w:rsid w:val="006212D1"/>
    <w:rsid w:val="00625B42"/>
    <w:rsid w:val="00627A06"/>
    <w:rsid w:val="006336D8"/>
    <w:rsid w:val="00633B95"/>
    <w:rsid w:val="00636284"/>
    <w:rsid w:val="00636EF1"/>
    <w:rsid w:val="006377F7"/>
    <w:rsid w:val="006416AA"/>
    <w:rsid w:val="006427A9"/>
    <w:rsid w:val="00643733"/>
    <w:rsid w:val="006438CF"/>
    <w:rsid w:val="006457CD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2FB0"/>
    <w:rsid w:val="0067446D"/>
    <w:rsid w:val="00681C3C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C1AB5"/>
    <w:rsid w:val="006C21EE"/>
    <w:rsid w:val="006C2CFB"/>
    <w:rsid w:val="006C59F5"/>
    <w:rsid w:val="006C6786"/>
    <w:rsid w:val="006D0CD2"/>
    <w:rsid w:val="006D1876"/>
    <w:rsid w:val="006D2A43"/>
    <w:rsid w:val="006D3FF4"/>
    <w:rsid w:val="006D49AB"/>
    <w:rsid w:val="006D6681"/>
    <w:rsid w:val="006E125C"/>
    <w:rsid w:val="006E1BBF"/>
    <w:rsid w:val="006E3D8C"/>
    <w:rsid w:val="006E6448"/>
    <w:rsid w:val="006E7A40"/>
    <w:rsid w:val="006F0808"/>
    <w:rsid w:val="006F2A62"/>
    <w:rsid w:val="006F3223"/>
    <w:rsid w:val="006F38A0"/>
    <w:rsid w:val="006F40D1"/>
    <w:rsid w:val="006F4FDF"/>
    <w:rsid w:val="006F67E9"/>
    <w:rsid w:val="006F7FB1"/>
    <w:rsid w:val="007118BE"/>
    <w:rsid w:val="00711BB6"/>
    <w:rsid w:val="00712A1F"/>
    <w:rsid w:val="007137F0"/>
    <w:rsid w:val="007144AA"/>
    <w:rsid w:val="007208F3"/>
    <w:rsid w:val="00722B2E"/>
    <w:rsid w:val="007236AE"/>
    <w:rsid w:val="007237E6"/>
    <w:rsid w:val="007243FD"/>
    <w:rsid w:val="00725D1E"/>
    <w:rsid w:val="007273FF"/>
    <w:rsid w:val="00731CCC"/>
    <w:rsid w:val="007341BF"/>
    <w:rsid w:val="007342F5"/>
    <w:rsid w:val="0073478E"/>
    <w:rsid w:val="00734E16"/>
    <w:rsid w:val="00735E1F"/>
    <w:rsid w:val="007362F0"/>
    <w:rsid w:val="00736BE2"/>
    <w:rsid w:val="0073741C"/>
    <w:rsid w:val="007402BF"/>
    <w:rsid w:val="007414D8"/>
    <w:rsid w:val="007428D5"/>
    <w:rsid w:val="00752238"/>
    <w:rsid w:val="0075358D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4ADA"/>
    <w:rsid w:val="0077686A"/>
    <w:rsid w:val="0078329C"/>
    <w:rsid w:val="007850B0"/>
    <w:rsid w:val="00790C32"/>
    <w:rsid w:val="00794E14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63D"/>
    <w:rsid w:val="007E573A"/>
    <w:rsid w:val="007E57BA"/>
    <w:rsid w:val="007F13F5"/>
    <w:rsid w:val="007F1479"/>
    <w:rsid w:val="007F26B1"/>
    <w:rsid w:val="007F339F"/>
    <w:rsid w:val="007F5618"/>
    <w:rsid w:val="007F7F56"/>
    <w:rsid w:val="00800497"/>
    <w:rsid w:val="00801195"/>
    <w:rsid w:val="008031F4"/>
    <w:rsid w:val="0080434A"/>
    <w:rsid w:val="0081099E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7363"/>
    <w:rsid w:val="0082749F"/>
    <w:rsid w:val="008276FE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5493"/>
    <w:rsid w:val="00866BFE"/>
    <w:rsid w:val="00866EA9"/>
    <w:rsid w:val="00867420"/>
    <w:rsid w:val="0087060A"/>
    <w:rsid w:val="00871D21"/>
    <w:rsid w:val="008746C0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5067"/>
    <w:rsid w:val="009154B3"/>
    <w:rsid w:val="00921122"/>
    <w:rsid w:val="009234A1"/>
    <w:rsid w:val="00924B7D"/>
    <w:rsid w:val="00927FCE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62C8A"/>
    <w:rsid w:val="009658E6"/>
    <w:rsid w:val="00965F13"/>
    <w:rsid w:val="00967265"/>
    <w:rsid w:val="0096796B"/>
    <w:rsid w:val="009745FD"/>
    <w:rsid w:val="00977004"/>
    <w:rsid w:val="009773CB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3831"/>
    <w:rsid w:val="009F5F3A"/>
    <w:rsid w:val="009F69B2"/>
    <w:rsid w:val="009F71D0"/>
    <w:rsid w:val="009F7751"/>
    <w:rsid w:val="00A02E20"/>
    <w:rsid w:val="00A0315F"/>
    <w:rsid w:val="00A03BA8"/>
    <w:rsid w:val="00A04045"/>
    <w:rsid w:val="00A105ED"/>
    <w:rsid w:val="00A11B0B"/>
    <w:rsid w:val="00A126B2"/>
    <w:rsid w:val="00A1318C"/>
    <w:rsid w:val="00A14CAF"/>
    <w:rsid w:val="00A1696E"/>
    <w:rsid w:val="00A16F14"/>
    <w:rsid w:val="00A2050D"/>
    <w:rsid w:val="00A21C2B"/>
    <w:rsid w:val="00A24D37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541D5"/>
    <w:rsid w:val="00A55EFD"/>
    <w:rsid w:val="00A567DD"/>
    <w:rsid w:val="00A60EF4"/>
    <w:rsid w:val="00A63CDF"/>
    <w:rsid w:val="00A64250"/>
    <w:rsid w:val="00A65F89"/>
    <w:rsid w:val="00A6670F"/>
    <w:rsid w:val="00A670FE"/>
    <w:rsid w:val="00A70200"/>
    <w:rsid w:val="00A70503"/>
    <w:rsid w:val="00A70E64"/>
    <w:rsid w:val="00A73489"/>
    <w:rsid w:val="00A81EDE"/>
    <w:rsid w:val="00A822B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7C6"/>
    <w:rsid w:val="00AA753F"/>
    <w:rsid w:val="00AB06C9"/>
    <w:rsid w:val="00AB1B4B"/>
    <w:rsid w:val="00AB7468"/>
    <w:rsid w:val="00AC186E"/>
    <w:rsid w:val="00AC20B9"/>
    <w:rsid w:val="00AC227C"/>
    <w:rsid w:val="00AC37A4"/>
    <w:rsid w:val="00AC504C"/>
    <w:rsid w:val="00AC6DCD"/>
    <w:rsid w:val="00AD136A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7E82"/>
    <w:rsid w:val="00B41AAC"/>
    <w:rsid w:val="00B41C89"/>
    <w:rsid w:val="00B41E2A"/>
    <w:rsid w:val="00B42FA4"/>
    <w:rsid w:val="00B47A67"/>
    <w:rsid w:val="00B515BC"/>
    <w:rsid w:val="00B53D53"/>
    <w:rsid w:val="00B54EA0"/>
    <w:rsid w:val="00B556EE"/>
    <w:rsid w:val="00B56024"/>
    <w:rsid w:val="00B56CD1"/>
    <w:rsid w:val="00B600CD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737"/>
    <w:rsid w:val="00BB5BB0"/>
    <w:rsid w:val="00BC38D3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546D"/>
    <w:rsid w:val="00BF72BF"/>
    <w:rsid w:val="00C025ED"/>
    <w:rsid w:val="00C02680"/>
    <w:rsid w:val="00C02C04"/>
    <w:rsid w:val="00C04D19"/>
    <w:rsid w:val="00C05F09"/>
    <w:rsid w:val="00C05F91"/>
    <w:rsid w:val="00C0646F"/>
    <w:rsid w:val="00C07120"/>
    <w:rsid w:val="00C10345"/>
    <w:rsid w:val="00C1144B"/>
    <w:rsid w:val="00C11B48"/>
    <w:rsid w:val="00C11F6F"/>
    <w:rsid w:val="00C1599F"/>
    <w:rsid w:val="00C16B6E"/>
    <w:rsid w:val="00C2053E"/>
    <w:rsid w:val="00C214FD"/>
    <w:rsid w:val="00C233B5"/>
    <w:rsid w:val="00C2432F"/>
    <w:rsid w:val="00C32328"/>
    <w:rsid w:val="00C41A87"/>
    <w:rsid w:val="00C42E8F"/>
    <w:rsid w:val="00C447F4"/>
    <w:rsid w:val="00C45390"/>
    <w:rsid w:val="00C4798B"/>
    <w:rsid w:val="00C526C0"/>
    <w:rsid w:val="00C52B1E"/>
    <w:rsid w:val="00C55051"/>
    <w:rsid w:val="00C56749"/>
    <w:rsid w:val="00C604D2"/>
    <w:rsid w:val="00C61631"/>
    <w:rsid w:val="00C6208E"/>
    <w:rsid w:val="00C62DDC"/>
    <w:rsid w:val="00C641AE"/>
    <w:rsid w:val="00C64B71"/>
    <w:rsid w:val="00C654B6"/>
    <w:rsid w:val="00C67140"/>
    <w:rsid w:val="00C702AA"/>
    <w:rsid w:val="00C706E1"/>
    <w:rsid w:val="00C71D16"/>
    <w:rsid w:val="00C71D9B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71B0"/>
    <w:rsid w:val="00CB1203"/>
    <w:rsid w:val="00CB5466"/>
    <w:rsid w:val="00CB5BCF"/>
    <w:rsid w:val="00CB6EB6"/>
    <w:rsid w:val="00CB7535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487F"/>
    <w:rsid w:val="00D14EDD"/>
    <w:rsid w:val="00D16C53"/>
    <w:rsid w:val="00D208BD"/>
    <w:rsid w:val="00D215F1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9A0"/>
    <w:rsid w:val="00D44ACA"/>
    <w:rsid w:val="00D44CA9"/>
    <w:rsid w:val="00D44CE9"/>
    <w:rsid w:val="00D455BF"/>
    <w:rsid w:val="00D45E64"/>
    <w:rsid w:val="00D4661F"/>
    <w:rsid w:val="00D46FC7"/>
    <w:rsid w:val="00D47D59"/>
    <w:rsid w:val="00D50F05"/>
    <w:rsid w:val="00D53E29"/>
    <w:rsid w:val="00D54012"/>
    <w:rsid w:val="00D60147"/>
    <w:rsid w:val="00D603FD"/>
    <w:rsid w:val="00D62834"/>
    <w:rsid w:val="00D62E24"/>
    <w:rsid w:val="00D64D97"/>
    <w:rsid w:val="00D655AF"/>
    <w:rsid w:val="00D65966"/>
    <w:rsid w:val="00D65BD6"/>
    <w:rsid w:val="00D6722A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53EB"/>
    <w:rsid w:val="00D85661"/>
    <w:rsid w:val="00D85858"/>
    <w:rsid w:val="00D865AF"/>
    <w:rsid w:val="00D87259"/>
    <w:rsid w:val="00D90F90"/>
    <w:rsid w:val="00D915E6"/>
    <w:rsid w:val="00D92688"/>
    <w:rsid w:val="00D94CFA"/>
    <w:rsid w:val="00D95127"/>
    <w:rsid w:val="00DA327D"/>
    <w:rsid w:val="00DA778F"/>
    <w:rsid w:val="00DB460A"/>
    <w:rsid w:val="00DB691B"/>
    <w:rsid w:val="00DB7C58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3331"/>
    <w:rsid w:val="00DE3AE1"/>
    <w:rsid w:val="00DE49DD"/>
    <w:rsid w:val="00DE5295"/>
    <w:rsid w:val="00DE6437"/>
    <w:rsid w:val="00DE6CFB"/>
    <w:rsid w:val="00DE7474"/>
    <w:rsid w:val="00DF0074"/>
    <w:rsid w:val="00DF0BD0"/>
    <w:rsid w:val="00DF7754"/>
    <w:rsid w:val="00E00D22"/>
    <w:rsid w:val="00E02D22"/>
    <w:rsid w:val="00E02DAC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317E2"/>
    <w:rsid w:val="00E3188C"/>
    <w:rsid w:val="00E33EDF"/>
    <w:rsid w:val="00E35706"/>
    <w:rsid w:val="00E35DB4"/>
    <w:rsid w:val="00E35E66"/>
    <w:rsid w:val="00E3651C"/>
    <w:rsid w:val="00E400A7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86AFB"/>
    <w:rsid w:val="00E87524"/>
    <w:rsid w:val="00E87F82"/>
    <w:rsid w:val="00E91DA2"/>
    <w:rsid w:val="00E9205A"/>
    <w:rsid w:val="00E92233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87D"/>
    <w:rsid w:val="00ED5411"/>
    <w:rsid w:val="00ED768C"/>
    <w:rsid w:val="00EE21AE"/>
    <w:rsid w:val="00EE3CFE"/>
    <w:rsid w:val="00EE577B"/>
    <w:rsid w:val="00EE6168"/>
    <w:rsid w:val="00EE61D2"/>
    <w:rsid w:val="00EF63CD"/>
    <w:rsid w:val="00EF6F8E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4FD1"/>
    <w:rsid w:val="00F36FB2"/>
    <w:rsid w:val="00F37568"/>
    <w:rsid w:val="00F40A28"/>
    <w:rsid w:val="00F421EC"/>
    <w:rsid w:val="00F44DFC"/>
    <w:rsid w:val="00F45556"/>
    <w:rsid w:val="00F45FC5"/>
    <w:rsid w:val="00F46AB5"/>
    <w:rsid w:val="00F53AAC"/>
    <w:rsid w:val="00F56EED"/>
    <w:rsid w:val="00F57BED"/>
    <w:rsid w:val="00F6004A"/>
    <w:rsid w:val="00F60073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1018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41ED"/>
    <w:rsid w:val="00FA2B94"/>
    <w:rsid w:val="00FA2DBB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ua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wp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9F5A-B47A-41AD-AFDB-9234859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13320</Words>
  <Characters>79923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Jakub Kaminski</cp:lastModifiedBy>
  <cp:revision>11</cp:revision>
  <cp:lastPrinted>2014-12-23T11:01:00Z</cp:lastPrinted>
  <dcterms:created xsi:type="dcterms:W3CDTF">2015-08-27T09:35:00Z</dcterms:created>
  <dcterms:modified xsi:type="dcterms:W3CDTF">2015-08-28T13:02:00Z</dcterms:modified>
</cp:coreProperties>
</file>