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29" w:rsidRPr="007E117D" w:rsidRDefault="004F4F29" w:rsidP="00CA05AB">
      <w:pPr>
        <w:pStyle w:val="Nagwek3"/>
        <w:suppressAutoHyphens/>
        <w:spacing w:before="0" w:after="0" w:line="360" w:lineRule="auto"/>
      </w:pPr>
      <w:bookmarkStart w:id="0" w:name="_Toc171846275"/>
      <w:bookmarkStart w:id="1" w:name="_Toc82560927"/>
      <w:bookmarkStart w:id="2" w:name="_Toc171846269"/>
    </w:p>
    <w:p w:rsidR="004F4F29" w:rsidRPr="007E117D" w:rsidRDefault="004F4F29" w:rsidP="00CA05AB">
      <w:pPr>
        <w:suppressAutoHyphens/>
        <w:spacing w:line="360" w:lineRule="auto"/>
        <w:jc w:val="center"/>
        <w:rPr>
          <w:rFonts w:ascii="Verdana" w:hAnsi="Verdana" w:cs="Arial"/>
        </w:rPr>
      </w:pPr>
      <w:r w:rsidRPr="007E117D">
        <w:rPr>
          <w:rFonts w:ascii="Verdana" w:hAnsi="Verdana" w:cs="Arial"/>
        </w:rPr>
        <w:t xml:space="preserve">  </w:t>
      </w:r>
    </w:p>
    <w:p w:rsidR="004F4F29" w:rsidRPr="007E117D" w:rsidRDefault="004F4F29" w:rsidP="00CA05AB">
      <w:pPr>
        <w:suppressAutoHyphens/>
        <w:spacing w:line="360" w:lineRule="auto"/>
        <w:jc w:val="center"/>
        <w:rPr>
          <w:rFonts w:ascii="Verdana" w:hAnsi="Verdana" w:cs="Arial"/>
        </w:rPr>
      </w:pPr>
    </w:p>
    <w:p w:rsidR="004F4F29" w:rsidRPr="007E117D" w:rsidRDefault="004F4F29" w:rsidP="00CA05AB">
      <w:pPr>
        <w:suppressAutoHyphens/>
        <w:spacing w:line="360" w:lineRule="auto"/>
        <w:rPr>
          <w:rFonts w:ascii="Verdana" w:hAnsi="Verdana" w:cs="Arial"/>
        </w:rPr>
      </w:pPr>
    </w:p>
    <w:p w:rsidR="004F4F29" w:rsidRPr="007E117D" w:rsidRDefault="004F4F29" w:rsidP="00CA05AB">
      <w:pPr>
        <w:suppressAutoHyphens/>
        <w:spacing w:line="360" w:lineRule="auto"/>
        <w:jc w:val="center"/>
        <w:rPr>
          <w:rFonts w:ascii="Verdana" w:hAnsi="Verdana" w:cs="Arial"/>
        </w:rPr>
      </w:pPr>
    </w:p>
    <w:p w:rsidR="003A73F3" w:rsidRPr="00C15C93" w:rsidRDefault="003A73F3" w:rsidP="00C15C93">
      <w:pPr>
        <w:pStyle w:val="Tytu"/>
      </w:pPr>
      <w:r w:rsidRPr="00C15C93">
        <w:t>OPINIA PRAWNA</w:t>
      </w:r>
    </w:p>
    <w:p w:rsidR="004F4F29" w:rsidRPr="00C15C93" w:rsidRDefault="003A73F3" w:rsidP="00C15C93">
      <w:pPr>
        <w:pStyle w:val="Tytu"/>
        <w:rPr>
          <w:sz w:val="20"/>
          <w:szCs w:val="20"/>
        </w:rPr>
      </w:pPr>
      <w:r w:rsidRPr="00C15C93">
        <w:rPr>
          <w:sz w:val="20"/>
          <w:szCs w:val="20"/>
        </w:rPr>
        <w:t xml:space="preserve">dotycząca </w:t>
      </w:r>
      <w:r w:rsidR="00055943" w:rsidRPr="00C15C93">
        <w:rPr>
          <w:sz w:val="20"/>
          <w:szCs w:val="20"/>
        </w:rPr>
        <w:t xml:space="preserve">obowiązku stosowania przepisów o zamówieniach publicznych przez beneficjentów </w:t>
      </w:r>
      <w:r w:rsidRPr="00C15C93">
        <w:rPr>
          <w:sz w:val="20"/>
          <w:szCs w:val="20"/>
        </w:rPr>
        <w:t>POPC</w:t>
      </w:r>
      <w:r w:rsidR="00055943" w:rsidRPr="00C15C93">
        <w:rPr>
          <w:sz w:val="20"/>
          <w:szCs w:val="20"/>
        </w:rPr>
        <w:t xml:space="preserve"> w działaniu 1.1.</w:t>
      </w:r>
      <w:r w:rsidR="004F4F29" w:rsidRPr="00C15C93">
        <w:rPr>
          <w:sz w:val="20"/>
          <w:szCs w:val="20"/>
        </w:rPr>
        <w:br/>
      </w:r>
    </w:p>
    <w:p w:rsidR="004F4F29" w:rsidRPr="007E117D" w:rsidRDefault="004F4F29" w:rsidP="00CA05AB">
      <w:pPr>
        <w:suppressAutoHyphens/>
        <w:spacing w:line="360" w:lineRule="auto"/>
        <w:jc w:val="center"/>
        <w:rPr>
          <w:rFonts w:ascii="Verdana" w:hAnsi="Verdana" w:cs="Arial"/>
        </w:rPr>
      </w:pPr>
    </w:p>
    <w:p w:rsidR="004F4F29" w:rsidRPr="007E117D" w:rsidRDefault="004F4F29" w:rsidP="00CA05AB">
      <w:pPr>
        <w:suppressAutoHyphens/>
        <w:spacing w:line="360" w:lineRule="auto"/>
        <w:jc w:val="center"/>
        <w:rPr>
          <w:rFonts w:ascii="Verdana" w:hAnsi="Verdana" w:cs="Arial"/>
        </w:rPr>
      </w:pPr>
    </w:p>
    <w:p w:rsidR="004F4F29" w:rsidRPr="007E117D" w:rsidRDefault="004F4F29" w:rsidP="00CA05AB">
      <w:pPr>
        <w:suppressAutoHyphens/>
        <w:spacing w:line="360" w:lineRule="auto"/>
        <w:jc w:val="center"/>
        <w:rPr>
          <w:rFonts w:ascii="Verdana" w:hAnsi="Verdana" w:cs="Arial"/>
        </w:rPr>
      </w:pPr>
    </w:p>
    <w:p w:rsidR="004F4F29" w:rsidRPr="007E117D" w:rsidRDefault="004F4F29" w:rsidP="00CA05AB">
      <w:pPr>
        <w:suppressAutoHyphens/>
        <w:spacing w:line="360" w:lineRule="auto"/>
        <w:jc w:val="center"/>
        <w:rPr>
          <w:rFonts w:ascii="Verdana" w:hAnsi="Verdana" w:cs="Arial"/>
        </w:rPr>
      </w:pPr>
    </w:p>
    <w:p w:rsidR="004F4F29" w:rsidRPr="007E117D" w:rsidRDefault="004F4F29" w:rsidP="00CA05AB">
      <w:pPr>
        <w:suppressAutoHyphens/>
        <w:spacing w:line="360" w:lineRule="auto"/>
        <w:jc w:val="center"/>
        <w:rPr>
          <w:rFonts w:ascii="Verdana" w:hAnsi="Verdana" w:cs="Arial"/>
        </w:rPr>
      </w:pPr>
    </w:p>
    <w:p w:rsidR="004F4F29" w:rsidRPr="007E117D" w:rsidRDefault="004F4F29" w:rsidP="00CA05AB">
      <w:pPr>
        <w:suppressAutoHyphens/>
        <w:spacing w:line="360" w:lineRule="auto"/>
        <w:jc w:val="center"/>
        <w:rPr>
          <w:rFonts w:ascii="Verdana" w:hAnsi="Verdana" w:cs="Arial"/>
        </w:rPr>
      </w:pPr>
    </w:p>
    <w:p w:rsidR="004F4F29" w:rsidRPr="007E117D" w:rsidRDefault="004F4F29" w:rsidP="00CA05AB">
      <w:pPr>
        <w:suppressAutoHyphens/>
        <w:spacing w:line="360" w:lineRule="auto"/>
        <w:jc w:val="center"/>
        <w:rPr>
          <w:rFonts w:ascii="Verdana" w:hAnsi="Verdana" w:cs="Arial"/>
        </w:rPr>
      </w:pPr>
    </w:p>
    <w:p w:rsidR="004F4F29" w:rsidRPr="007E117D" w:rsidRDefault="004F4F29" w:rsidP="00CA05AB">
      <w:pPr>
        <w:suppressAutoHyphens/>
        <w:spacing w:line="360" w:lineRule="auto"/>
        <w:jc w:val="center"/>
        <w:rPr>
          <w:rFonts w:ascii="Verdana" w:hAnsi="Verdana" w:cs="Arial"/>
        </w:rPr>
      </w:pPr>
    </w:p>
    <w:p w:rsidR="004F4F29" w:rsidRPr="007E117D" w:rsidRDefault="004F4F29" w:rsidP="00CA05AB">
      <w:pPr>
        <w:suppressAutoHyphens/>
        <w:spacing w:line="360" w:lineRule="auto"/>
        <w:jc w:val="center"/>
        <w:rPr>
          <w:rFonts w:ascii="Verdana" w:hAnsi="Verdana" w:cs="Arial"/>
        </w:rPr>
      </w:pPr>
    </w:p>
    <w:p w:rsidR="004F4F29" w:rsidRPr="007E117D" w:rsidRDefault="004F4F29" w:rsidP="00CA05AB">
      <w:pPr>
        <w:suppressAutoHyphens/>
        <w:spacing w:line="360" w:lineRule="auto"/>
        <w:jc w:val="center"/>
        <w:rPr>
          <w:rFonts w:ascii="Verdana" w:hAnsi="Verdana" w:cs="Arial"/>
        </w:rPr>
      </w:pPr>
    </w:p>
    <w:p w:rsidR="004F4F29" w:rsidRPr="007E117D" w:rsidRDefault="004F4F29" w:rsidP="00CA05AB">
      <w:pPr>
        <w:suppressAutoHyphens/>
        <w:spacing w:line="360" w:lineRule="auto"/>
        <w:jc w:val="center"/>
        <w:rPr>
          <w:rFonts w:ascii="Verdana" w:hAnsi="Verdana" w:cs="Arial"/>
        </w:rPr>
      </w:pPr>
    </w:p>
    <w:p w:rsidR="004F4F29" w:rsidRPr="007E117D" w:rsidRDefault="004F4F29" w:rsidP="00CA05AB">
      <w:pPr>
        <w:suppressAutoHyphens/>
        <w:spacing w:line="360" w:lineRule="auto"/>
        <w:rPr>
          <w:rFonts w:ascii="Verdana" w:hAnsi="Verdana" w:cs="Arial"/>
        </w:rPr>
      </w:pPr>
    </w:p>
    <w:p w:rsidR="004F4F29" w:rsidRPr="007E117D" w:rsidRDefault="004F4F29" w:rsidP="00CA05AB">
      <w:pPr>
        <w:suppressAutoHyphens/>
        <w:spacing w:line="360" w:lineRule="auto"/>
        <w:jc w:val="center"/>
        <w:rPr>
          <w:rFonts w:ascii="Verdana" w:hAnsi="Verdana" w:cs="Arial"/>
        </w:rPr>
      </w:pPr>
    </w:p>
    <w:p w:rsidR="004F4F29" w:rsidRPr="007E117D" w:rsidRDefault="003A73F3" w:rsidP="00CA05AB">
      <w:pPr>
        <w:suppressAutoHyphens/>
        <w:spacing w:line="360" w:lineRule="auto"/>
        <w:jc w:val="center"/>
        <w:rPr>
          <w:rFonts w:ascii="Verdana" w:hAnsi="Verdana" w:cs="Arial"/>
        </w:rPr>
      </w:pPr>
      <w:r w:rsidRPr="007E117D">
        <w:rPr>
          <w:rFonts w:ascii="Verdana" w:hAnsi="Verdana" w:cs="Arial"/>
        </w:rPr>
        <w:t xml:space="preserve">Warszawa, </w:t>
      </w:r>
      <w:r w:rsidR="00D818A7" w:rsidRPr="007E117D">
        <w:rPr>
          <w:rFonts w:ascii="Verdana" w:hAnsi="Verdana" w:cs="Arial"/>
        </w:rPr>
        <w:t>marzec</w:t>
      </w:r>
      <w:r w:rsidR="004F4F29" w:rsidRPr="007E117D">
        <w:rPr>
          <w:rFonts w:ascii="Verdana" w:hAnsi="Verdana" w:cs="Arial"/>
        </w:rPr>
        <w:t xml:space="preserve"> </w:t>
      </w:r>
      <w:r w:rsidR="009A3EC2" w:rsidRPr="007E117D">
        <w:rPr>
          <w:rFonts w:ascii="Verdana" w:hAnsi="Verdana" w:cs="Arial"/>
        </w:rPr>
        <w:t>201</w:t>
      </w:r>
      <w:r w:rsidRPr="007E117D">
        <w:rPr>
          <w:rFonts w:ascii="Verdana" w:hAnsi="Verdana" w:cs="Arial"/>
        </w:rPr>
        <w:t>7</w:t>
      </w:r>
      <w:r w:rsidR="004F4F29" w:rsidRPr="007E117D">
        <w:rPr>
          <w:rFonts w:ascii="Verdana" w:hAnsi="Verdana" w:cs="Arial"/>
        </w:rPr>
        <w:t xml:space="preserve"> r. </w:t>
      </w:r>
    </w:p>
    <w:p w:rsidR="004F4F29" w:rsidRPr="007E117D" w:rsidRDefault="004F4F29" w:rsidP="00CA05AB">
      <w:pPr>
        <w:suppressAutoHyphens/>
        <w:spacing w:line="360" w:lineRule="auto"/>
        <w:jc w:val="center"/>
        <w:rPr>
          <w:rFonts w:ascii="Verdana" w:hAnsi="Verdana" w:cs="Arial"/>
        </w:rPr>
        <w:sectPr w:rsidR="004F4F29" w:rsidRPr="007E117D">
          <w:headerReference w:type="default" r:id="rId8"/>
          <w:footerReference w:type="even" r:id="rId9"/>
          <w:footerReference w:type="default" r:id="rId10"/>
          <w:endnotePr>
            <w:numFmt w:val="decimal"/>
          </w:endnotePr>
          <w:pgSz w:w="11906" w:h="16838"/>
          <w:pgMar w:top="1417" w:right="1417" w:bottom="1417" w:left="1417" w:header="708" w:footer="708" w:gutter="0"/>
          <w:cols w:space="708"/>
          <w:docGrid w:linePitch="360"/>
        </w:sectPr>
      </w:pPr>
      <w:r w:rsidRPr="007E117D">
        <w:rPr>
          <w:rFonts w:ascii="Verdana" w:hAnsi="Verdana" w:cs="Arial"/>
        </w:rPr>
        <w:t>_____________________</w:t>
      </w:r>
      <w:r w:rsidR="00CA3CE1" w:rsidRPr="007E117D">
        <w:rPr>
          <w:rFonts w:ascii="Verdana" w:hAnsi="Verdana" w:cs="Arial"/>
        </w:rPr>
        <w:t>__________</w:t>
      </w:r>
    </w:p>
    <w:p w:rsidR="009A3EC2" w:rsidRPr="007E117D" w:rsidRDefault="004F4F29" w:rsidP="00CA05AB">
      <w:pPr>
        <w:pStyle w:val="Nagwek1"/>
        <w:numPr>
          <w:ilvl w:val="0"/>
          <w:numId w:val="4"/>
        </w:numPr>
        <w:pBdr>
          <w:bottom w:val="single" w:sz="12" w:space="1" w:color="auto"/>
        </w:pBdr>
        <w:tabs>
          <w:tab w:val="clear" w:pos="1080"/>
          <w:tab w:val="num" w:pos="567"/>
        </w:tabs>
        <w:suppressAutoHyphens/>
        <w:spacing w:before="0" w:line="360" w:lineRule="auto"/>
        <w:ind w:left="0" w:firstLine="0"/>
        <w:rPr>
          <w:rFonts w:cs="Arial"/>
          <w:smallCaps/>
        </w:rPr>
      </w:pPr>
      <w:r w:rsidRPr="007E117D">
        <w:rPr>
          <w:rFonts w:cs="Arial"/>
          <w:smallCaps/>
        </w:rPr>
        <w:lastRenderedPageBreak/>
        <w:t>Zleceniodawca</w:t>
      </w:r>
      <w:bookmarkEnd w:id="1"/>
      <w:bookmarkEnd w:id="2"/>
    </w:p>
    <w:p w:rsidR="00FD1B1E" w:rsidRPr="007E117D" w:rsidRDefault="005B034C" w:rsidP="00CA05AB">
      <w:pPr>
        <w:suppressAutoHyphens/>
        <w:spacing w:line="360" w:lineRule="auto"/>
        <w:jc w:val="both"/>
        <w:rPr>
          <w:rFonts w:ascii="Verdana" w:hAnsi="Verdana" w:cs="Arial"/>
        </w:rPr>
      </w:pPr>
      <w:bookmarkStart w:id="3" w:name="_Toc95475049"/>
      <w:bookmarkStart w:id="4" w:name="_Toc171846270"/>
      <w:r w:rsidRPr="007E117D">
        <w:rPr>
          <w:rFonts w:ascii="Verdana" w:hAnsi="Verdana" w:cs="Arial"/>
        </w:rPr>
        <w:t>Opinia</w:t>
      </w:r>
      <w:r w:rsidR="00FD1B1E" w:rsidRPr="007E117D">
        <w:rPr>
          <w:rFonts w:ascii="Verdana" w:hAnsi="Verdana" w:cs="Arial"/>
        </w:rPr>
        <w:t xml:space="preserve"> zost</w:t>
      </w:r>
      <w:r w:rsidR="008750B6" w:rsidRPr="007E117D">
        <w:rPr>
          <w:rFonts w:ascii="Verdana" w:hAnsi="Verdana" w:cs="Arial"/>
        </w:rPr>
        <w:t xml:space="preserve">ała opracowana na zlecenie </w:t>
      </w:r>
      <w:r w:rsidR="00CB6A89" w:rsidRPr="007E117D">
        <w:rPr>
          <w:rFonts w:ascii="Verdana" w:hAnsi="Verdana" w:cs="Arial"/>
        </w:rPr>
        <w:t>Centrum Projektów Polska Cyfrowa,</w:t>
      </w:r>
      <w:r w:rsidRPr="007E117D">
        <w:rPr>
          <w:rFonts w:ascii="Verdana" w:hAnsi="Verdana" w:cs="Arial"/>
        </w:rPr>
        <w:t xml:space="preserve"> </w:t>
      </w:r>
      <w:r w:rsidR="009003FC" w:rsidRPr="007E117D">
        <w:rPr>
          <w:rFonts w:ascii="Verdana" w:hAnsi="Verdana" w:cs="Arial"/>
        </w:rPr>
        <w:t>ul. Spokojna 13a</w:t>
      </w:r>
      <w:r w:rsidR="00550CB8" w:rsidRPr="007E117D">
        <w:rPr>
          <w:rFonts w:ascii="Verdana" w:hAnsi="Verdana" w:cs="Arial"/>
        </w:rPr>
        <w:t xml:space="preserve">, </w:t>
      </w:r>
      <w:r w:rsidR="009003FC" w:rsidRPr="007E117D">
        <w:rPr>
          <w:rFonts w:ascii="Verdana" w:hAnsi="Verdana" w:cs="Arial"/>
        </w:rPr>
        <w:t>01-044 Warszawa</w:t>
      </w:r>
      <w:r w:rsidR="002A55AA">
        <w:rPr>
          <w:rFonts w:ascii="Verdana" w:hAnsi="Verdana" w:cs="Arial"/>
        </w:rPr>
        <w:t xml:space="preserve"> („CPPC”)</w:t>
      </w:r>
      <w:r w:rsidR="00550CB8" w:rsidRPr="007E117D">
        <w:rPr>
          <w:rFonts w:ascii="Verdana" w:hAnsi="Verdana" w:cs="Arial"/>
        </w:rPr>
        <w:t>.</w:t>
      </w:r>
      <w:r w:rsidR="00CB6A89" w:rsidRPr="007E117D">
        <w:rPr>
          <w:rFonts w:ascii="Verdana" w:hAnsi="Verdana" w:cs="Arial"/>
        </w:rPr>
        <w:t xml:space="preserve"> </w:t>
      </w:r>
    </w:p>
    <w:p w:rsidR="00FD1B1E" w:rsidRPr="007E117D" w:rsidRDefault="00FD1B1E" w:rsidP="00CA05AB">
      <w:pPr>
        <w:suppressAutoHyphens/>
        <w:spacing w:line="360" w:lineRule="auto"/>
        <w:rPr>
          <w:rFonts w:ascii="Verdana" w:hAnsi="Verdana" w:cs="Arial"/>
        </w:rPr>
      </w:pPr>
    </w:p>
    <w:p w:rsidR="00BC3DA9" w:rsidRPr="007E117D" w:rsidRDefault="004F4F29" w:rsidP="00CA05AB">
      <w:pPr>
        <w:pStyle w:val="Nagwek1"/>
        <w:numPr>
          <w:ilvl w:val="0"/>
          <w:numId w:val="4"/>
        </w:numPr>
        <w:pBdr>
          <w:bottom w:val="single" w:sz="12" w:space="1" w:color="auto"/>
        </w:pBdr>
        <w:tabs>
          <w:tab w:val="clear" w:pos="1080"/>
          <w:tab w:val="num" w:pos="567"/>
          <w:tab w:val="left" w:pos="8460"/>
        </w:tabs>
        <w:suppressAutoHyphens/>
        <w:spacing w:before="0" w:line="360" w:lineRule="auto"/>
        <w:ind w:left="0" w:firstLine="0"/>
        <w:rPr>
          <w:rFonts w:cs="Arial"/>
          <w:smallCaps/>
          <w:sz w:val="18"/>
          <w:szCs w:val="18"/>
        </w:rPr>
      </w:pPr>
      <w:r w:rsidRPr="007E117D">
        <w:rPr>
          <w:sz w:val="18"/>
          <w:szCs w:val="18"/>
        </w:rPr>
        <w:t>W</w:t>
      </w:r>
      <w:bookmarkEnd w:id="3"/>
      <w:bookmarkEnd w:id="4"/>
      <w:r w:rsidR="00865B84" w:rsidRPr="007E117D">
        <w:rPr>
          <w:sz w:val="18"/>
          <w:szCs w:val="18"/>
        </w:rPr>
        <w:t>YKONAWCA</w:t>
      </w:r>
    </w:p>
    <w:p w:rsidR="004F4F29" w:rsidRPr="007E117D" w:rsidRDefault="004F4F29" w:rsidP="00CA05AB">
      <w:pPr>
        <w:tabs>
          <w:tab w:val="left" w:pos="8460"/>
        </w:tabs>
        <w:suppressAutoHyphens/>
        <w:spacing w:line="360" w:lineRule="auto"/>
        <w:rPr>
          <w:rFonts w:ascii="Verdana" w:hAnsi="Verdana" w:cs="Arial"/>
        </w:rPr>
      </w:pPr>
      <w:r w:rsidRPr="007E117D">
        <w:rPr>
          <w:rFonts w:ascii="Verdana" w:hAnsi="Verdana" w:cs="Arial"/>
        </w:rPr>
        <w:t>Opinia została opracowana przez:</w:t>
      </w:r>
    </w:p>
    <w:p w:rsidR="004F4F29" w:rsidRPr="007E117D" w:rsidRDefault="004F4F29" w:rsidP="00CA05AB">
      <w:pPr>
        <w:tabs>
          <w:tab w:val="left" w:pos="8460"/>
        </w:tabs>
        <w:suppressAutoHyphens/>
        <w:spacing w:line="360" w:lineRule="auto"/>
        <w:rPr>
          <w:rFonts w:ascii="Verdana" w:hAnsi="Verdana" w:cs="Arial"/>
          <w:b/>
        </w:rPr>
      </w:pPr>
      <w:r w:rsidRPr="007E117D">
        <w:rPr>
          <w:rFonts w:ascii="Verdana" w:hAnsi="Verdana" w:cs="Arial"/>
          <w:b/>
        </w:rPr>
        <w:t>Grupę Doradczą Sienna Sp. z o.o.</w:t>
      </w:r>
      <w:r w:rsidRPr="007E117D">
        <w:rPr>
          <w:rFonts w:ascii="Verdana" w:hAnsi="Verdana" w:cs="Arial"/>
          <w:b/>
        </w:rPr>
        <w:tab/>
      </w:r>
      <w:r w:rsidRPr="007E117D">
        <w:rPr>
          <w:rFonts w:ascii="Verdana" w:hAnsi="Verdana" w:cs="Arial"/>
          <w:b/>
        </w:rPr>
        <w:br/>
        <w:t xml:space="preserve">ul. </w:t>
      </w:r>
      <w:r w:rsidR="009A3EC2" w:rsidRPr="007E117D">
        <w:rPr>
          <w:rFonts w:ascii="Verdana" w:hAnsi="Verdana" w:cs="Arial"/>
          <w:b/>
        </w:rPr>
        <w:t>Bagatela 10 lok 5</w:t>
      </w:r>
      <w:r w:rsidRPr="007E117D">
        <w:rPr>
          <w:rFonts w:ascii="Verdana" w:hAnsi="Verdana" w:cs="Arial"/>
          <w:b/>
        </w:rPr>
        <w:t xml:space="preserve"> </w:t>
      </w:r>
      <w:r w:rsidR="009A3EC2" w:rsidRPr="007E117D">
        <w:rPr>
          <w:rFonts w:ascii="Verdana" w:hAnsi="Verdana" w:cs="Arial"/>
          <w:b/>
          <w:bCs/>
        </w:rPr>
        <w:br/>
        <w:t>00-585</w:t>
      </w:r>
      <w:r w:rsidRPr="007E117D">
        <w:rPr>
          <w:rFonts w:ascii="Verdana" w:hAnsi="Verdana" w:cs="Arial"/>
          <w:b/>
          <w:bCs/>
        </w:rPr>
        <w:t xml:space="preserve"> Warszawa</w:t>
      </w:r>
      <w:r w:rsidR="00FA5852" w:rsidRPr="007E117D">
        <w:rPr>
          <w:rFonts w:ascii="Verdana" w:hAnsi="Verdana" w:cs="Arial"/>
          <w:b/>
        </w:rPr>
        <w:tab/>
        <w:t xml:space="preserve"> </w:t>
      </w:r>
      <w:r w:rsidR="00FA5852" w:rsidRPr="007E117D">
        <w:rPr>
          <w:rFonts w:ascii="Verdana" w:hAnsi="Verdana" w:cs="Arial"/>
          <w:b/>
        </w:rPr>
        <w:br/>
        <w:t>tel. 022 654 77 41,</w:t>
      </w:r>
      <w:r w:rsidRPr="007E117D">
        <w:rPr>
          <w:rFonts w:ascii="Verdana" w:hAnsi="Verdana" w:cs="Arial"/>
          <w:b/>
        </w:rPr>
        <w:t xml:space="preserve"> fax 022 654 31 31</w:t>
      </w:r>
      <w:r w:rsidRPr="007E117D">
        <w:rPr>
          <w:rFonts w:ascii="Verdana" w:hAnsi="Verdana" w:cs="Arial"/>
          <w:b/>
        </w:rPr>
        <w:tab/>
      </w:r>
      <w:r w:rsidRPr="007E117D">
        <w:rPr>
          <w:rFonts w:ascii="Verdana" w:hAnsi="Verdana" w:cs="Arial"/>
          <w:b/>
        </w:rPr>
        <w:br/>
        <w:t>e-mail: grupasienna@grupasienna.pl</w:t>
      </w:r>
      <w:bookmarkStart w:id="5" w:name="_GoBack"/>
      <w:bookmarkEnd w:id="5"/>
    </w:p>
    <w:p w:rsidR="008621D3" w:rsidRPr="007E117D" w:rsidRDefault="004F4F29" w:rsidP="00CA05AB">
      <w:pPr>
        <w:pStyle w:val="Tekstpodstawowywcity"/>
        <w:tabs>
          <w:tab w:val="left" w:pos="8460"/>
        </w:tabs>
        <w:suppressAutoHyphens/>
        <w:spacing w:after="0" w:line="360" w:lineRule="auto"/>
        <w:ind w:left="0"/>
        <w:jc w:val="both"/>
        <w:rPr>
          <w:rFonts w:ascii="Verdana" w:hAnsi="Verdana" w:cs="Arial"/>
        </w:rPr>
      </w:pPr>
      <w:r w:rsidRPr="007E117D">
        <w:rPr>
          <w:rFonts w:ascii="Verdana" w:hAnsi="Verdana" w:cs="Arial"/>
        </w:rPr>
        <w:t>wpisaną do rejestru przedsiębiorców – Krajowego Rejestru Sądowego w Sądzie Rejonowym dla Miasta Stołecznego Warszawy XIX Wydział Gospodarczy Krajowego Rejestru Sądowego pod numerem KRS 0000177022.</w:t>
      </w:r>
    </w:p>
    <w:p w:rsidR="00A61AA1" w:rsidRPr="007E117D" w:rsidRDefault="00A61AA1" w:rsidP="00CA05AB">
      <w:pPr>
        <w:pStyle w:val="Tekstpodstawowywcity"/>
        <w:tabs>
          <w:tab w:val="left" w:pos="8460"/>
        </w:tabs>
        <w:suppressAutoHyphens/>
        <w:spacing w:after="0" w:line="360" w:lineRule="auto"/>
        <w:ind w:left="0"/>
        <w:jc w:val="both"/>
        <w:rPr>
          <w:rFonts w:ascii="Verdana" w:hAnsi="Verdana" w:cs="Arial"/>
        </w:rPr>
      </w:pPr>
    </w:p>
    <w:p w:rsidR="004F4F29" w:rsidRPr="007E117D" w:rsidRDefault="004F4F29" w:rsidP="00CA05AB">
      <w:pPr>
        <w:pStyle w:val="Nagwek1"/>
        <w:numPr>
          <w:ilvl w:val="0"/>
          <w:numId w:val="4"/>
        </w:numPr>
        <w:pBdr>
          <w:bottom w:val="single" w:sz="12" w:space="1" w:color="auto"/>
        </w:pBdr>
        <w:tabs>
          <w:tab w:val="clear" w:pos="1080"/>
          <w:tab w:val="num" w:pos="567"/>
        </w:tabs>
        <w:suppressAutoHyphens/>
        <w:spacing w:before="0" w:line="360" w:lineRule="auto"/>
        <w:ind w:left="0" w:firstLine="0"/>
        <w:rPr>
          <w:rFonts w:cs="Arial"/>
          <w:smallCaps/>
        </w:rPr>
      </w:pPr>
      <w:bookmarkStart w:id="6" w:name="_Toc82560929"/>
      <w:bookmarkStart w:id="7" w:name="_Toc177201275"/>
      <w:r w:rsidRPr="007E117D">
        <w:rPr>
          <w:rFonts w:cs="Arial"/>
          <w:smallCaps/>
        </w:rPr>
        <w:t xml:space="preserve">Materiał wyjściowy do opracowania </w:t>
      </w:r>
      <w:bookmarkEnd w:id="6"/>
      <w:bookmarkEnd w:id="7"/>
      <w:r w:rsidR="00C34311" w:rsidRPr="007E117D">
        <w:rPr>
          <w:rFonts w:cs="Arial"/>
          <w:smallCaps/>
        </w:rPr>
        <w:t>opinii</w:t>
      </w:r>
    </w:p>
    <w:p w:rsidR="009D3BAB" w:rsidRPr="007E117D" w:rsidRDefault="009D3BAB" w:rsidP="00CA05AB">
      <w:pPr>
        <w:pStyle w:val="Tekstpodstawowywcity"/>
        <w:suppressAutoHyphens/>
        <w:spacing w:after="0" w:line="360" w:lineRule="auto"/>
        <w:ind w:left="0"/>
        <w:jc w:val="both"/>
        <w:rPr>
          <w:rFonts w:ascii="Verdana" w:hAnsi="Verdana" w:cs="Arial"/>
        </w:rPr>
      </w:pPr>
    </w:p>
    <w:p w:rsidR="004F4F29" w:rsidRPr="007E117D" w:rsidRDefault="00C34311" w:rsidP="00CA05AB">
      <w:pPr>
        <w:pStyle w:val="Tekstpodstawowywcity"/>
        <w:suppressAutoHyphens/>
        <w:spacing w:after="0" w:line="360" w:lineRule="auto"/>
        <w:ind w:left="0"/>
        <w:jc w:val="both"/>
        <w:rPr>
          <w:rFonts w:ascii="Verdana" w:hAnsi="Verdana" w:cs="Arial"/>
        </w:rPr>
      </w:pPr>
      <w:r w:rsidRPr="007E117D">
        <w:rPr>
          <w:rFonts w:ascii="Verdana" w:hAnsi="Verdana" w:cs="Arial"/>
        </w:rPr>
        <w:t>Opinia</w:t>
      </w:r>
      <w:r w:rsidR="004F4F29" w:rsidRPr="007E117D">
        <w:rPr>
          <w:rFonts w:ascii="Verdana" w:hAnsi="Verdana" w:cs="Arial"/>
        </w:rPr>
        <w:t xml:space="preserve"> została opracowana w oparciu o następujące dokumenty:</w:t>
      </w:r>
    </w:p>
    <w:p w:rsidR="00F50E22" w:rsidRPr="007E117D" w:rsidRDefault="00BA0A81" w:rsidP="00CA05AB">
      <w:pPr>
        <w:pStyle w:val="Tekstpodstawowywcity"/>
        <w:numPr>
          <w:ilvl w:val="0"/>
          <w:numId w:val="12"/>
        </w:numPr>
        <w:suppressAutoHyphens/>
        <w:spacing w:after="0" w:line="360" w:lineRule="auto"/>
        <w:ind w:left="426" w:hanging="426"/>
        <w:jc w:val="both"/>
        <w:rPr>
          <w:rFonts w:ascii="Verdana" w:hAnsi="Verdana" w:cs="Arial"/>
        </w:rPr>
      </w:pPr>
      <w:r w:rsidRPr="007E117D">
        <w:rPr>
          <w:rFonts w:ascii="Verdana" w:hAnsi="Verdana" w:cs="Arial"/>
        </w:rPr>
        <w:t>u</w:t>
      </w:r>
      <w:r w:rsidR="008621D3" w:rsidRPr="007E117D">
        <w:rPr>
          <w:rFonts w:ascii="Verdana" w:hAnsi="Verdana" w:cs="Arial"/>
        </w:rPr>
        <w:t>stawa z dnia 29 stycznia 2004 r. Prawo zamówień publicznych (t.</w:t>
      </w:r>
      <w:r w:rsidR="004A5E30" w:rsidRPr="007E117D">
        <w:rPr>
          <w:rFonts w:ascii="Verdana" w:hAnsi="Verdana" w:cs="Arial"/>
        </w:rPr>
        <w:t xml:space="preserve"> </w:t>
      </w:r>
      <w:r w:rsidR="008621D3" w:rsidRPr="007E117D">
        <w:rPr>
          <w:rFonts w:ascii="Verdana" w:hAnsi="Verdana" w:cs="Arial"/>
        </w:rPr>
        <w:t>j. Dz. U.</w:t>
      </w:r>
      <w:r w:rsidR="00CC1B2F" w:rsidRPr="007E117D">
        <w:rPr>
          <w:rFonts w:ascii="Verdana" w:hAnsi="Verdana" w:cs="Arial"/>
        </w:rPr>
        <w:t xml:space="preserve"> z 2015 r., poz. 2164, ze zm.);</w:t>
      </w:r>
    </w:p>
    <w:p w:rsidR="009D3BAB" w:rsidRPr="002A55AA" w:rsidRDefault="009D3BAB" w:rsidP="009D3BAB">
      <w:pPr>
        <w:pStyle w:val="Tekstpodstawowywcity"/>
        <w:numPr>
          <w:ilvl w:val="0"/>
          <w:numId w:val="12"/>
        </w:numPr>
        <w:suppressAutoHyphens/>
        <w:spacing w:after="0" w:line="360" w:lineRule="auto"/>
        <w:ind w:left="426" w:hanging="426"/>
        <w:jc w:val="both"/>
        <w:rPr>
          <w:rFonts w:ascii="Verdana" w:hAnsi="Verdana" w:cs="Arial"/>
        </w:rPr>
      </w:pPr>
      <w:r w:rsidRPr="007E117D">
        <w:rPr>
          <w:rFonts w:ascii="Verdana" w:hAnsi="Verdana"/>
        </w:rPr>
        <w:t xml:space="preserve">Ustawa z dnia 16 lipca 2004 r Prawo telekomunikacyjne </w:t>
      </w:r>
      <w:r w:rsidRPr="002A55AA">
        <w:rPr>
          <w:rFonts w:ascii="Verdana" w:hAnsi="Verdana"/>
        </w:rPr>
        <w:t>(</w:t>
      </w:r>
      <w:proofErr w:type="spellStart"/>
      <w:r w:rsidRPr="002A55AA">
        <w:rPr>
          <w:rFonts w:ascii="Verdana" w:hAnsi="Verdana"/>
          <w:bCs/>
        </w:rPr>
        <w:t>t.j</w:t>
      </w:r>
      <w:proofErr w:type="spellEnd"/>
      <w:r w:rsidRPr="002A55AA">
        <w:rPr>
          <w:rFonts w:ascii="Verdana" w:hAnsi="Verdana"/>
          <w:bCs/>
        </w:rPr>
        <w:t>. Dz. U. z 2016 r. poz. 1489 ze zm.)</w:t>
      </w:r>
    </w:p>
    <w:p w:rsidR="009D3BAB" w:rsidRPr="007E117D" w:rsidRDefault="009D3BAB" w:rsidP="009D3BAB">
      <w:pPr>
        <w:pStyle w:val="Tekstpodstawowywcity"/>
        <w:numPr>
          <w:ilvl w:val="0"/>
          <w:numId w:val="12"/>
        </w:numPr>
        <w:suppressAutoHyphens/>
        <w:spacing w:after="0" w:line="360" w:lineRule="auto"/>
        <w:ind w:left="426" w:hanging="426"/>
        <w:jc w:val="both"/>
        <w:rPr>
          <w:rFonts w:ascii="Verdana" w:hAnsi="Verdana" w:cs="Arial"/>
        </w:rPr>
      </w:pPr>
      <w:r w:rsidRPr="007E117D">
        <w:rPr>
          <w:rFonts w:ascii="Verdana" w:hAnsi="Verdana" w:cs="Arial"/>
        </w:rPr>
        <w:t>D</w:t>
      </w:r>
      <w:r w:rsidR="00F50E22" w:rsidRPr="007E117D">
        <w:rPr>
          <w:rFonts w:ascii="Verdana" w:hAnsi="Verdana" w:cs="Arial"/>
        </w:rPr>
        <w:t>yrektywa 2014/24/UE Parlamentu Europejskiego i Ra</w:t>
      </w:r>
      <w:r w:rsidR="00DF020A" w:rsidRPr="007E117D">
        <w:rPr>
          <w:rFonts w:ascii="Verdana" w:hAnsi="Verdana" w:cs="Arial"/>
        </w:rPr>
        <w:t>dy z dnia 26 lutego 2014 r. w </w:t>
      </w:r>
      <w:r w:rsidR="00F50E22" w:rsidRPr="007E117D">
        <w:rPr>
          <w:rFonts w:ascii="Verdana" w:hAnsi="Verdana" w:cs="Arial"/>
        </w:rPr>
        <w:t>sprawie zamówień publicznych, uchylająca dyrektywę 20</w:t>
      </w:r>
      <w:r w:rsidR="00CC1B2F" w:rsidRPr="007E117D">
        <w:rPr>
          <w:rFonts w:ascii="Verdana" w:hAnsi="Verdana" w:cs="Arial"/>
        </w:rPr>
        <w:t>04/18/WE (Dz.U.UE.L.2014.94.65);</w:t>
      </w:r>
    </w:p>
    <w:p w:rsidR="009D3BAB" w:rsidRPr="007E117D" w:rsidRDefault="009D3BAB" w:rsidP="009D3BAB">
      <w:pPr>
        <w:pStyle w:val="Tekstpodstawowywcity"/>
        <w:numPr>
          <w:ilvl w:val="0"/>
          <w:numId w:val="12"/>
        </w:numPr>
        <w:suppressAutoHyphens/>
        <w:spacing w:after="0" w:line="360" w:lineRule="auto"/>
        <w:ind w:left="426" w:hanging="426"/>
        <w:jc w:val="both"/>
        <w:rPr>
          <w:rFonts w:ascii="Verdana" w:hAnsi="Verdana" w:cs="Arial"/>
        </w:rPr>
      </w:pPr>
      <w:r w:rsidRPr="007E117D">
        <w:rPr>
          <w:rFonts w:ascii="Verdana" w:hAnsi="Verdana" w:cs="EUAlbertina"/>
        </w:rPr>
        <w:t>Dyrektywa 2002/21/WE Parlamentu Europejskiego i Rady z dnia 7 marca 2002 r. w sprawie wspólnych ram regulacyjnych sieci i usług łączności elektronicznej (dyrektywa ramowa) (Dz.U. L 108 z 24.4.2002, s. 33)</w:t>
      </w:r>
      <w:r w:rsidR="002A55AA">
        <w:rPr>
          <w:rFonts w:ascii="Verdana" w:hAnsi="Verdana" w:cs="EUAlbertina"/>
        </w:rPr>
        <w:t>;</w:t>
      </w:r>
    </w:p>
    <w:p w:rsidR="009D3BAB" w:rsidRPr="007E117D" w:rsidRDefault="009D3BAB" w:rsidP="009D3BAB">
      <w:pPr>
        <w:pStyle w:val="Tekstpodstawowywcity"/>
        <w:numPr>
          <w:ilvl w:val="0"/>
          <w:numId w:val="12"/>
        </w:numPr>
        <w:suppressAutoHyphens/>
        <w:spacing w:after="0" w:line="360" w:lineRule="auto"/>
        <w:ind w:left="426" w:hanging="426"/>
        <w:jc w:val="both"/>
        <w:rPr>
          <w:rFonts w:ascii="Verdana" w:hAnsi="Verdana" w:cs="Arial"/>
        </w:rPr>
      </w:pPr>
      <w:r w:rsidRPr="007E117D">
        <w:rPr>
          <w:rFonts w:ascii="Verdana" w:hAnsi="Verdana"/>
        </w:rPr>
        <w:t>A. Sołtysińska, H. Talago-Sławoj Komentarz do dyrektywy 2014/24/UE w sprawie zamówień publicznych, uchylającej dyrektywę 2004/18/WE, [w:] Europejskie prawo zamówień publicznych. Komentarz, wyd. III</w:t>
      </w:r>
      <w:r w:rsidR="002A55AA">
        <w:rPr>
          <w:rFonts w:ascii="Verdana" w:hAnsi="Verdana"/>
        </w:rPr>
        <w:t>;</w:t>
      </w:r>
    </w:p>
    <w:p w:rsidR="007E117D" w:rsidRPr="007E117D" w:rsidRDefault="007E117D" w:rsidP="009D3BAB">
      <w:pPr>
        <w:pStyle w:val="Tekstpodstawowywcity"/>
        <w:numPr>
          <w:ilvl w:val="0"/>
          <w:numId w:val="12"/>
        </w:numPr>
        <w:suppressAutoHyphens/>
        <w:spacing w:after="0" w:line="360" w:lineRule="auto"/>
        <w:ind w:left="426" w:hanging="426"/>
        <w:jc w:val="both"/>
        <w:rPr>
          <w:rFonts w:ascii="Verdana" w:hAnsi="Verdana" w:cs="Arial"/>
        </w:rPr>
      </w:pPr>
      <w:r w:rsidRPr="007E117D">
        <w:rPr>
          <w:rFonts w:ascii="Verdana" w:hAnsi="Verdana"/>
        </w:rPr>
        <w:t xml:space="preserve">Z. Radwański i M. Zieliński, </w:t>
      </w:r>
      <w:r w:rsidRPr="007E117D">
        <w:rPr>
          <w:rFonts w:ascii="Verdana" w:eastAsia="Georgia-Italic" w:hAnsi="Verdana"/>
          <w:iCs/>
        </w:rPr>
        <w:t>System prawa prywatnego</w:t>
      </w:r>
      <w:r w:rsidRPr="007E117D">
        <w:rPr>
          <w:rFonts w:ascii="Verdana" w:hAnsi="Verdana"/>
        </w:rPr>
        <w:t>, t. 1, Warszawa 2007</w:t>
      </w:r>
      <w:r w:rsidR="002A55AA">
        <w:rPr>
          <w:rFonts w:ascii="Verdana" w:hAnsi="Verdana"/>
        </w:rPr>
        <w:t>;</w:t>
      </w:r>
    </w:p>
    <w:p w:rsidR="00103E02" w:rsidRPr="007E117D" w:rsidRDefault="00103E02" w:rsidP="00CA05AB">
      <w:pPr>
        <w:pStyle w:val="Tekstpodstawowywcity"/>
        <w:numPr>
          <w:ilvl w:val="0"/>
          <w:numId w:val="12"/>
        </w:numPr>
        <w:suppressAutoHyphens/>
        <w:spacing w:after="0" w:line="360" w:lineRule="auto"/>
        <w:ind w:left="426" w:hanging="426"/>
        <w:jc w:val="both"/>
        <w:rPr>
          <w:rFonts w:ascii="Verdana" w:hAnsi="Verdana" w:cs="Arial"/>
        </w:rPr>
      </w:pPr>
      <w:r w:rsidRPr="007E117D">
        <w:rPr>
          <w:rFonts w:ascii="Verdana" w:hAnsi="Verdana" w:cs="Arial"/>
        </w:rPr>
        <w:t>W. Dzierżanowski, J. Jerzykowski, M. Stachowiak, Prawo zamówień publicznych, Komentarz, wydanie VI, Warszawa 2014 r.;</w:t>
      </w:r>
    </w:p>
    <w:p w:rsidR="00103E02" w:rsidRPr="007E117D" w:rsidRDefault="00103E02" w:rsidP="00CA05AB">
      <w:pPr>
        <w:pStyle w:val="Tekstpodstawowywcity"/>
        <w:numPr>
          <w:ilvl w:val="0"/>
          <w:numId w:val="12"/>
        </w:numPr>
        <w:suppressAutoHyphens/>
        <w:spacing w:after="0" w:line="360" w:lineRule="auto"/>
        <w:ind w:left="426" w:hanging="426"/>
        <w:jc w:val="both"/>
        <w:rPr>
          <w:rFonts w:ascii="Verdana" w:hAnsi="Verdana" w:cs="Arial"/>
        </w:rPr>
      </w:pPr>
      <w:r w:rsidRPr="007E117D">
        <w:rPr>
          <w:rFonts w:ascii="Verdana" w:hAnsi="Verdana" w:cs="Arial"/>
        </w:rPr>
        <w:t xml:space="preserve">Orzecznictwo </w:t>
      </w:r>
      <w:r w:rsidR="009D3BAB" w:rsidRPr="007E117D">
        <w:rPr>
          <w:rFonts w:ascii="Verdana" w:hAnsi="Verdana" w:cs="Arial"/>
        </w:rPr>
        <w:t>TSUE przywołane w treści opinii</w:t>
      </w:r>
      <w:r w:rsidR="002A55AA">
        <w:rPr>
          <w:rFonts w:ascii="Verdana" w:hAnsi="Verdana" w:cs="Arial"/>
        </w:rPr>
        <w:t>;</w:t>
      </w:r>
    </w:p>
    <w:p w:rsidR="009D3BAB" w:rsidRPr="007E117D" w:rsidRDefault="009D3BAB" w:rsidP="00CA05AB">
      <w:pPr>
        <w:pStyle w:val="Tekstpodstawowywcity"/>
        <w:numPr>
          <w:ilvl w:val="0"/>
          <w:numId w:val="12"/>
        </w:numPr>
        <w:suppressAutoHyphens/>
        <w:spacing w:after="0" w:line="360" w:lineRule="auto"/>
        <w:ind w:left="426" w:hanging="426"/>
        <w:jc w:val="both"/>
        <w:rPr>
          <w:rFonts w:ascii="Verdana" w:hAnsi="Verdana" w:cs="Arial"/>
        </w:rPr>
      </w:pPr>
      <w:r w:rsidRPr="007E117D">
        <w:rPr>
          <w:rFonts w:ascii="Verdana" w:hAnsi="Verdana" w:cs="Arial"/>
        </w:rPr>
        <w:t>Opinie Prez</w:t>
      </w:r>
      <w:r w:rsidR="002A55AA">
        <w:rPr>
          <w:rFonts w:ascii="Verdana" w:hAnsi="Verdana" w:cs="Arial"/>
        </w:rPr>
        <w:t>esa Urzędu Zamówień Publicznych.</w:t>
      </w:r>
    </w:p>
    <w:p w:rsidR="00B13C70" w:rsidRPr="007E117D" w:rsidRDefault="00B13C70" w:rsidP="00CA05AB">
      <w:pPr>
        <w:pStyle w:val="Tekstpodstawowywcity"/>
        <w:suppressAutoHyphens/>
        <w:spacing w:after="0" w:line="360" w:lineRule="auto"/>
        <w:ind w:left="3030"/>
        <w:jc w:val="both"/>
        <w:rPr>
          <w:rFonts w:ascii="Verdana" w:hAnsi="Verdana" w:cs="Arial"/>
        </w:rPr>
      </w:pPr>
    </w:p>
    <w:p w:rsidR="001433BF" w:rsidRPr="007E117D" w:rsidRDefault="00197F53" w:rsidP="00CA05AB">
      <w:pPr>
        <w:pStyle w:val="Nagwek1"/>
        <w:numPr>
          <w:ilvl w:val="0"/>
          <w:numId w:val="4"/>
        </w:numPr>
        <w:pBdr>
          <w:bottom w:val="single" w:sz="12" w:space="1" w:color="auto"/>
        </w:pBdr>
        <w:tabs>
          <w:tab w:val="clear" w:pos="1080"/>
        </w:tabs>
        <w:suppressAutoHyphens/>
        <w:spacing w:before="0" w:line="360" w:lineRule="auto"/>
        <w:ind w:left="567" w:hanging="567"/>
        <w:rPr>
          <w:rFonts w:cs="Arial"/>
          <w:smallCaps/>
          <w:sz w:val="18"/>
          <w:szCs w:val="18"/>
        </w:rPr>
      </w:pPr>
      <w:r w:rsidRPr="007E117D">
        <w:rPr>
          <w:sz w:val="18"/>
          <w:szCs w:val="18"/>
        </w:rPr>
        <w:t>STAN FAKTYCZNY</w:t>
      </w:r>
    </w:p>
    <w:p w:rsidR="00CA05AB" w:rsidRPr="007E117D" w:rsidRDefault="00CA05AB" w:rsidP="00CA05AB">
      <w:pPr>
        <w:pStyle w:val="Tekstpodstawowywcity"/>
        <w:suppressAutoHyphens/>
        <w:spacing w:after="0" w:line="360" w:lineRule="auto"/>
        <w:ind w:left="0"/>
        <w:jc w:val="both"/>
        <w:rPr>
          <w:rFonts w:ascii="Verdana" w:hAnsi="Verdana" w:cs="Arial"/>
        </w:rPr>
      </w:pPr>
    </w:p>
    <w:p w:rsidR="004807EF" w:rsidRPr="007E117D" w:rsidRDefault="00CA05AB" w:rsidP="004807EF">
      <w:pPr>
        <w:pStyle w:val="Tekstpodstawowywcity"/>
        <w:suppressAutoHyphens/>
        <w:spacing w:after="0" w:line="360" w:lineRule="auto"/>
        <w:ind w:left="0"/>
        <w:jc w:val="both"/>
        <w:rPr>
          <w:rFonts w:ascii="Verdana" w:hAnsi="Verdana" w:cs="Arial"/>
        </w:rPr>
      </w:pPr>
      <w:r w:rsidRPr="007E117D">
        <w:rPr>
          <w:rFonts w:ascii="Verdana" w:hAnsi="Verdana" w:cs="Arial"/>
        </w:rPr>
        <w:t>W Programie</w:t>
      </w:r>
      <w:r w:rsidR="00CF312F" w:rsidRPr="007E117D">
        <w:rPr>
          <w:rFonts w:ascii="Verdana" w:hAnsi="Verdana" w:cs="Arial"/>
        </w:rPr>
        <w:t xml:space="preserve"> Operacyjn</w:t>
      </w:r>
      <w:r w:rsidRPr="007E117D">
        <w:rPr>
          <w:rFonts w:ascii="Verdana" w:hAnsi="Verdana" w:cs="Arial"/>
        </w:rPr>
        <w:t>ym</w:t>
      </w:r>
      <w:r w:rsidR="00CF312F" w:rsidRPr="007E117D">
        <w:rPr>
          <w:rFonts w:ascii="Verdana" w:hAnsi="Verdana" w:cs="Arial"/>
        </w:rPr>
        <w:t xml:space="preserve"> Polska Cyfro</w:t>
      </w:r>
      <w:r w:rsidR="009A1800" w:rsidRPr="007E117D">
        <w:rPr>
          <w:rFonts w:ascii="Verdana" w:hAnsi="Verdana" w:cs="Arial"/>
        </w:rPr>
        <w:t>wa,</w:t>
      </w:r>
      <w:r w:rsidR="00055943" w:rsidRPr="007E117D">
        <w:rPr>
          <w:rFonts w:ascii="Verdana" w:hAnsi="Verdana" w:cs="Arial"/>
        </w:rPr>
        <w:t xml:space="preserve"> w działaniu 1.1. CPPC w drodze konkursów zawiera umowy o dofinansowanie projektów, których przedmiotem jest budowa sieci dostępu do Internetu na wskazanych obszarach kraju. Ostatecznym odbiorcą, który zyska dzięki sieci możliwość korzystania z Internetu s</w:t>
      </w:r>
      <w:r w:rsidR="004807EF" w:rsidRPr="007E117D">
        <w:rPr>
          <w:rFonts w:ascii="Verdana" w:hAnsi="Verdana" w:cs="Arial"/>
        </w:rPr>
        <w:t>ą osoby fizyczne (gospodarstwa domowe) z obszaru objętego działaniem w liczbie wynikającej z umowy o dofinansowanie oraz szkoły zlokalizowane na tym obszarze. Czynności zmierzające do p</w:t>
      </w:r>
      <w:r w:rsidR="002A55AA">
        <w:rPr>
          <w:rFonts w:ascii="Verdana" w:hAnsi="Verdana" w:cs="Arial"/>
        </w:rPr>
        <w:t>owstania sieci będą polegały na:</w:t>
      </w:r>
    </w:p>
    <w:p w:rsidR="004807EF" w:rsidRPr="007E117D" w:rsidRDefault="004807EF" w:rsidP="002A55AA">
      <w:pPr>
        <w:pStyle w:val="Tekstpodstawowywcity"/>
        <w:numPr>
          <w:ilvl w:val="0"/>
          <w:numId w:val="20"/>
        </w:numPr>
        <w:suppressAutoHyphens/>
        <w:spacing w:after="0" w:line="360" w:lineRule="auto"/>
        <w:jc w:val="both"/>
        <w:rPr>
          <w:rFonts w:ascii="Verdana" w:hAnsi="Verdana"/>
        </w:rPr>
      </w:pPr>
      <w:r w:rsidRPr="007E117D">
        <w:rPr>
          <w:rFonts w:ascii="Verdana" w:hAnsi="Verdana" w:cs="Arial"/>
        </w:rPr>
        <w:t xml:space="preserve">zbudowaniu sieci światłowodowej </w:t>
      </w:r>
      <w:r w:rsidRPr="007E117D">
        <w:rPr>
          <w:rFonts w:ascii="Verdana" w:hAnsi="Verdana"/>
        </w:rPr>
        <w:t xml:space="preserve">na podbudowie słupowej  - słupach elektrycznych niskiego lub średniego napięcia lub słupach wybudowanych w celu podwieszenia światłowodu,  dzierżawionej lub własnej </w:t>
      </w:r>
    </w:p>
    <w:p w:rsidR="004807EF" w:rsidRPr="007E117D" w:rsidRDefault="004807EF" w:rsidP="004807EF">
      <w:pPr>
        <w:numPr>
          <w:ilvl w:val="0"/>
          <w:numId w:val="20"/>
        </w:numPr>
        <w:shd w:val="clear" w:color="auto" w:fill="FFFFFF"/>
        <w:spacing w:line="360" w:lineRule="auto"/>
        <w:jc w:val="both"/>
        <w:rPr>
          <w:rFonts w:ascii="Verdana" w:hAnsi="Verdana"/>
        </w:rPr>
      </w:pPr>
      <w:r w:rsidRPr="007E117D">
        <w:rPr>
          <w:rFonts w:ascii="Verdana" w:hAnsi="Verdana" w:cs="Arial"/>
        </w:rPr>
        <w:t xml:space="preserve">zbudowaniu sieci światłowodowej podziemnej </w:t>
      </w:r>
      <w:r w:rsidRPr="007E117D">
        <w:rPr>
          <w:rFonts w:ascii="Verdana" w:hAnsi="Verdana"/>
        </w:rPr>
        <w:t>poprzez ułożenie kabli światłowod</w:t>
      </w:r>
      <w:r w:rsidRPr="007E117D">
        <w:rPr>
          <w:rFonts w:ascii="Verdana" w:hAnsi="Verdana"/>
        </w:rPr>
        <w:t>o</w:t>
      </w:r>
      <w:r w:rsidRPr="007E117D">
        <w:rPr>
          <w:rFonts w:ascii="Verdana" w:hAnsi="Verdana"/>
        </w:rPr>
        <w:t>wych w kanalizacji/</w:t>
      </w:r>
      <w:proofErr w:type="spellStart"/>
      <w:r w:rsidRPr="007E117D">
        <w:rPr>
          <w:rFonts w:ascii="Verdana" w:hAnsi="Verdana"/>
        </w:rPr>
        <w:t>mikrokanaliz</w:t>
      </w:r>
      <w:r w:rsidRPr="007E117D">
        <w:rPr>
          <w:rFonts w:ascii="Verdana" w:hAnsi="Verdana"/>
        </w:rPr>
        <w:t>a</w:t>
      </w:r>
      <w:r w:rsidRPr="007E117D">
        <w:rPr>
          <w:rFonts w:ascii="Verdana" w:hAnsi="Verdana"/>
        </w:rPr>
        <w:t>cji</w:t>
      </w:r>
      <w:proofErr w:type="spellEnd"/>
      <w:r w:rsidRPr="007E117D">
        <w:rPr>
          <w:rFonts w:ascii="Verdana" w:hAnsi="Verdana"/>
        </w:rPr>
        <w:t xml:space="preserve">, </w:t>
      </w:r>
    </w:p>
    <w:p w:rsidR="004807EF" w:rsidRPr="007E117D" w:rsidRDefault="004807EF" w:rsidP="004807EF">
      <w:pPr>
        <w:numPr>
          <w:ilvl w:val="0"/>
          <w:numId w:val="20"/>
        </w:numPr>
        <w:shd w:val="clear" w:color="auto" w:fill="FFFFFF"/>
        <w:spacing w:line="360" w:lineRule="auto"/>
        <w:jc w:val="both"/>
        <w:rPr>
          <w:rFonts w:ascii="Verdana" w:hAnsi="Verdana"/>
        </w:rPr>
      </w:pPr>
      <w:r w:rsidRPr="007E117D">
        <w:rPr>
          <w:rFonts w:ascii="Verdana" w:hAnsi="Verdana" w:cs="Arial"/>
        </w:rPr>
        <w:t>zbudowaniu sieci r</w:t>
      </w:r>
      <w:r w:rsidRPr="007E117D">
        <w:rPr>
          <w:rFonts w:ascii="Verdana" w:hAnsi="Verdana"/>
        </w:rPr>
        <w:t xml:space="preserve">adiowej w tym budowę masztów.  </w:t>
      </w:r>
    </w:p>
    <w:p w:rsidR="004807EF" w:rsidRPr="007E117D" w:rsidRDefault="004807EF" w:rsidP="004807EF">
      <w:pPr>
        <w:shd w:val="clear" w:color="auto" w:fill="FFFFFF"/>
        <w:spacing w:line="360" w:lineRule="auto"/>
        <w:jc w:val="both"/>
        <w:rPr>
          <w:rFonts w:ascii="Verdana" w:hAnsi="Verdana"/>
        </w:rPr>
      </w:pPr>
    </w:p>
    <w:p w:rsidR="004807EF" w:rsidRPr="007E117D" w:rsidRDefault="004807EF" w:rsidP="004807EF">
      <w:pPr>
        <w:shd w:val="clear" w:color="auto" w:fill="FFFFFF"/>
        <w:spacing w:line="360" w:lineRule="auto"/>
        <w:jc w:val="both"/>
        <w:rPr>
          <w:rFonts w:ascii="Verdana" w:hAnsi="Verdana"/>
        </w:rPr>
      </w:pPr>
      <w:r w:rsidRPr="007E117D">
        <w:rPr>
          <w:rFonts w:ascii="Verdana" w:hAnsi="Verdana"/>
        </w:rPr>
        <w:t>Beneficjentami (stroną umów z CPPC) będą podmioty prywatne, co do zasady niezob</w:t>
      </w:r>
      <w:r w:rsidRPr="007E117D">
        <w:rPr>
          <w:rFonts w:ascii="Verdana" w:hAnsi="Verdana"/>
        </w:rPr>
        <w:t>o</w:t>
      </w:r>
      <w:r w:rsidRPr="007E117D">
        <w:rPr>
          <w:rFonts w:ascii="Verdana" w:hAnsi="Verdana"/>
        </w:rPr>
        <w:t>wiązane do stosowania przepisów o zamówieniach publicznych. Wartość projektu w prz</w:t>
      </w:r>
      <w:r w:rsidRPr="007E117D">
        <w:rPr>
          <w:rFonts w:ascii="Verdana" w:hAnsi="Verdana"/>
        </w:rPr>
        <w:t>y</w:t>
      </w:r>
      <w:r w:rsidRPr="007E117D">
        <w:rPr>
          <w:rFonts w:ascii="Verdana" w:hAnsi="Verdana"/>
        </w:rPr>
        <w:t xml:space="preserve">padku każdego z obszarów będzie przekraczać kwotę 5 225 000 euro. </w:t>
      </w:r>
      <w:r w:rsidR="006B4F78" w:rsidRPr="007E117D">
        <w:rPr>
          <w:rFonts w:ascii="Verdana" w:hAnsi="Verdana"/>
        </w:rPr>
        <w:t xml:space="preserve">Dofinansowanie przekroczy 50%. </w:t>
      </w:r>
      <w:r w:rsidRPr="007E117D">
        <w:rPr>
          <w:rFonts w:ascii="Verdana" w:hAnsi="Verdana"/>
        </w:rPr>
        <w:t xml:space="preserve">Wartość </w:t>
      </w:r>
      <w:r w:rsidR="006B4F78" w:rsidRPr="007E117D">
        <w:rPr>
          <w:rFonts w:ascii="Verdana" w:hAnsi="Verdana"/>
        </w:rPr>
        <w:t>projektu</w:t>
      </w:r>
      <w:r w:rsidRPr="007E117D">
        <w:rPr>
          <w:rFonts w:ascii="Verdana" w:hAnsi="Verdana"/>
        </w:rPr>
        <w:t xml:space="preserve"> ustalona odrębnie dla „typu użytkownika” </w:t>
      </w:r>
      <w:proofErr w:type="spellStart"/>
      <w:r w:rsidRPr="007E117D">
        <w:rPr>
          <w:rFonts w:ascii="Verdana" w:hAnsi="Verdana"/>
        </w:rPr>
        <w:t>tj</w:t>
      </w:r>
      <w:proofErr w:type="spellEnd"/>
      <w:r w:rsidRPr="007E117D">
        <w:rPr>
          <w:rFonts w:ascii="Verdana" w:hAnsi="Verdana"/>
        </w:rPr>
        <w:t xml:space="preserve"> gosp</w:t>
      </w:r>
      <w:r w:rsidRPr="007E117D">
        <w:rPr>
          <w:rFonts w:ascii="Verdana" w:hAnsi="Verdana"/>
        </w:rPr>
        <w:t>o</w:t>
      </w:r>
      <w:r w:rsidRPr="007E117D">
        <w:rPr>
          <w:rFonts w:ascii="Verdana" w:hAnsi="Verdana"/>
        </w:rPr>
        <w:t>darstw domowych i szkół nie prz</w:t>
      </w:r>
      <w:r w:rsidRPr="007E117D">
        <w:rPr>
          <w:rFonts w:ascii="Verdana" w:hAnsi="Verdana"/>
        </w:rPr>
        <w:t>e</w:t>
      </w:r>
      <w:r w:rsidRPr="007E117D">
        <w:rPr>
          <w:rFonts w:ascii="Verdana" w:hAnsi="Verdana"/>
        </w:rPr>
        <w:t>kroczy w szeregu przypadków wspomnianej kw</w:t>
      </w:r>
      <w:r w:rsidR="006B4F78" w:rsidRPr="007E117D">
        <w:rPr>
          <w:rFonts w:ascii="Verdana" w:hAnsi="Verdana"/>
        </w:rPr>
        <w:t>oty.</w:t>
      </w:r>
    </w:p>
    <w:p w:rsidR="006B4F78" w:rsidRPr="007E117D" w:rsidRDefault="006B4F78" w:rsidP="004807EF">
      <w:pPr>
        <w:shd w:val="clear" w:color="auto" w:fill="FFFFFF"/>
        <w:spacing w:line="360" w:lineRule="auto"/>
        <w:jc w:val="both"/>
        <w:rPr>
          <w:rFonts w:ascii="Verdana" w:hAnsi="Verdana"/>
        </w:rPr>
      </w:pPr>
    </w:p>
    <w:p w:rsidR="006B4F78" w:rsidRPr="007E117D" w:rsidRDefault="006B4F78" w:rsidP="004807EF">
      <w:pPr>
        <w:shd w:val="clear" w:color="auto" w:fill="FFFFFF"/>
        <w:spacing w:line="360" w:lineRule="auto"/>
        <w:jc w:val="both"/>
        <w:rPr>
          <w:rFonts w:ascii="Verdana" w:hAnsi="Verdana"/>
        </w:rPr>
      </w:pPr>
      <w:r w:rsidRPr="007E117D">
        <w:rPr>
          <w:rFonts w:ascii="Verdana" w:hAnsi="Verdana"/>
        </w:rPr>
        <w:t>Analiza będzie stanowić odpowiedź czy w opisanym stanie faktycznym beneficjenci będą obowiązani przy budowie sieci stosować przepisy ustawy z dnia 20 stycznia 2004 r. Pr</w:t>
      </w:r>
      <w:r w:rsidRPr="007E117D">
        <w:rPr>
          <w:rFonts w:ascii="Verdana" w:hAnsi="Verdana"/>
        </w:rPr>
        <w:t>a</w:t>
      </w:r>
      <w:r w:rsidRPr="007E117D">
        <w:rPr>
          <w:rFonts w:ascii="Verdana" w:hAnsi="Verdana"/>
        </w:rPr>
        <w:t>wo zamówień publicznych (</w:t>
      </w:r>
      <w:proofErr w:type="spellStart"/>
      <w:r w:rsidRPr="007E117D">
        <w:rPr>
          <w:rFonts w:ascii="Verdana" w:hAnsi="Verdana"/>
        </w:rPr>
        <w:t>tj</w:t>
      </w:r>
      <w:proofErr w:type="spellEnd"/>
      <w:r w:rsidRPr="007E117D">
        <w:rPr>
          <w:rFonts w:ascii="Verdana" w:hAnsi="Verdana"/>
        </w:rPr>
        <w:t xml:space="preserve"> Dz. U. z 2015 r. </w:t>
      </w:r>
      <w:proofErr w:type="spellStart"/>
      <w:r w:rsidRPr="007E117D">
        <w:rPr>
          <w:rFonts w:ascii="Verdana" w:hAnsi="Verdana"/>
        </w:rPr>
        <w:t>poz</w:t>
      </w:r>
      <w:proofErr w:type="spellEnd"/>
      <w:r w:rsidRPr="007E117D">
        <w:rPr>
          <w:rFonts w:ascii="Verdana" w:hAnsi="Verdana"/>
        </w:rPr>
        <w:t xml:space="preserve"> 2164 ze zm.)</w:t>
      </w:r>
    </w:p>
    <w:p w:rsidR="004807EF" w:rsidRPr="007E117D" w:rsidRDefault="004807EF" w:rsidP="004807EF">
      <w:pPr>
        <w:spacing w:line="360" w:lineRule="auto"/>
        <w:rPr>
          <w:rFonts w:ascii="Verdana" w:eastAsia="Calibri" w:hAnsi="Verdana"/>
          <w:lang w:eastAsia="en-US"/>
        </w:rPr>
      </w:pPr>
    </w:p>
    <w:bookmarkEnd w:id="0"/>
    <w:p w:rsidR="004256C7" w:rsidRPr="007E117D" w:rsidRDefault="00197F53" w:rsidP="00CA05AB">
      <w:pPr>
        <w:pStyle w:val="Nagwek1"/>
        <w:numPr>
          <w:ilvl w:val="0"/>
          <w:numId w:val="4"/>
        </w:numPr>
        <w:pBdr>
          <w:bottom w:val="single" w:sz="12" w:space="1" w:color="auto"/>
        </w:pBdr>
        <w:tabs>
          <w:tab w:val="clear" w:pos="1080"/>
          <w:tab w:val="num" w:pos="567"/>
        </w:tabs>
        <w:suppressAutoHyphens/>
        <w:spacing w:before="0" w:line="360" w:lineRule="auto"/>
        <w:ind w:left="0" w:firstLine="0"/>
        <w:rPr>
          <w:rFonts w:cs="Arial"/>
          <w:smallCaps/>
        </w:rPr>
      </w:pPr>
      <w:r w:rsidRPr="007E117D">
        <w:t>ANALIZA</w:t>
      </w:r>
    </w:p>
    <w:p w:rsidR="00CA05AB" w:rsidRPr="007E117D" w:rsidRDefault="00CA05AB" w:rsidP="00CA05AB">
      <w:pPr>
        <w:suppressAutoHyphens/>
        <w:spacing w:line="360" w:lineRule="auto"/>
        <w:jc w:val="both"/>
        <w:rPr>
          <w:rFonts w:ascii="Verdana" w:hAnsi="Verdana" w:cs="Arial"/>
        </w:rPr>
      </w:pPr>
    </w:p>
    <w:p w:rsidR="004B3DBC" w:rsidRPr="007E117D" w:rsidRDefault="006B4F78" w:rsidP="004B3DBC">
      <w:pPr>
        <w:spacing w:line="360" w:lineRule="auto"/>
        <w:jc w:val="both"/>
        <w:rPr>
          <w:rFonts w:ascii="Verdana" w:eastAsia="Calibri" w:hAnsi="Verdana" w:cs="Times-Roman"/>
          <w:lang w:eastAsia="en-US"/>
        </w:rPr>
      </w:pPr>
      <w:r w:rsidRPr="007E117D">
        <w:rPr>
          <w:rFonts w:ascii="Verdana" w:hAnsi="Verdana"/>
        </w:rPr>
        <w:t>Aby ustalić, czy zachodzi obowiązek</w:t>
      </w:r>
      <w:r w:rsidR="004B3DBC" w:rsidRPr="007E117D">
        <w:rPr>
          <w:rFonts w:ascii="Verdana" w:hAnsi="Verdana"/>
        </w:rPr>
        <w:t xml:space="preserve"> stosowania ustawy Pzp do tak zakreślonego prze</w:t>
      </w:r>
      <w:r w:rsidR="004B3DBC" w:rsidRPr="007E117D">
        <w:rPr>
          <w:rFonts w:ascii="Verdana" w:hAnsi="Verdana"/>
        </w:rPr>
        <w:t>d</w:t>
      </w:r>
      <w:r w:rsidR="004B3DBC" w:rsidRPr="007E117D">
        <w:rPr>
          <w:rFonts w:ascii="Verdana" w:hAnsi="Verdana"/>
        </w:rPr>
        <w:t>miotu z</w:t>
      </w:r>
      <w:r w:rsidR="004B3DBC" w:rsidRPr="007E117D">
        <w:rPr>
          <w:rFonts w:ascii="Verdana" w:hAnsi="Verdana"/>
        </w:rPr>
        <w:t>a</w:t>
      </w:r>
      <w:r w:rsidR="004B3DBC" w:rsidRPr="007E117D">
        <w:rPr>
          <w:rFonts w:ascii="Verdana" w:hAnsi="Verdana"/>
        </w:rPr>
        <w:t>mówienia,</w:t>
      </w:r>
      <w:r w:rsidRPr="007E117D">
        <w:rPr>
          <w:rFonts w:ascii="Verdana" w:hAnsi="Verdana"/>
        </w:rPr>
        <w:t xml:space="preserve"> w którym zamawiającymi będą podmioty wskazane w art. 3 ust 1 pkt 5) ustawy </w:t>
      </w:r>
      <w:r w:rsidR="004B3DBC" w:rsidRPr="007E117D">
        <w:rPr>
          <w:rFonts w:ascii="Verdana" w:hAnsi="Verdana"/>
        </w:rPr>
        <w:t xml:space="preserve">w pierwszej kolejności konieczne jest ustalenie, czy </w:t>
      </w:r>
      <w:r w:rsidR="009D3BAB" w:rsidRPr="007E117D">
        <w:rPr>
          <w:rFonts w:ascii="Verdana" w:hAnsi="Verdana"/>
        </w:rPr>
        <w:t xml:space="preserve">czynności budowy sieci (radiowej lub światłowodowej) </w:t>
      </w:r>
      <w:r w:rsidR="004B3DBC" w:rsidRPr="007E117D">
        <w:rPr>
          <w:rFonts w:ascii="Verdana" w:hAnsi="Verdana"/>
        </w:rPr>
        <w:t>to roboty w zakresie inżynierii lądowej lub wodnej okr</w:t>
      </w:r>
      <w:r w:rsidR="004B3DBC" w:rsidRPr="007E117D">
        <w:rPr>
          <w:rFonts w:ascii="Verdana" w:hAnsi="Verdana"/>
        </w:rPr>
        <w:t>e</w:t>
      </w:r>
      <w:r w:rsidR="004B3DBC" w:rsidRPr="007E117D">
        <w:rPr>
          <w:rFonts w:ascii="Verdana" w:hAnsi="Verdana"/>
        </w:rPr>
        <w:t xml:space="preserve">ślone w załączniku II do dyrektywy 2014/24UE. </w:t>
      </w:r>
      <w:r w:rsidR="004B3DBC" w:rsidRPr="007E117D">
        <w:rPr>
          <w:rFonts w:ascii="Verdana" w:hAnsi="Verdana"/>
          <w:i/>
        </w:rPr>
        <w:t>A priori</w:t>
      </w:r>
      <w:r w:rsidR="004B3DBC" w:rsidRPr="007E117D">
        <w:rPr>
          <w:rFonts w:ascii="Verdana" w:hAnsi="Verdana"/>
        </w:rPr>
        <w:t xml:space="preserve"> można bowiem przyjąć, że rob</w:t>
      </w:r>
      <w:r w:rsidR="004B3DBC" w:rsidRPr="007E117D">
        <w:rPr>
          <w:rFonts w:ascii="Verdana" w:hAnsi="Verdana"/>
        </w:rPr>
        <w:t>o</w:t>
      </w:r>
      <w:r w:rsidR="004B3DBC" w:rsidRPr="007E117D">
        <w:rPr>
          <w:rFonts w:ascii="Verdana" w:hAnsi="Verdana"/>
        </w:rPr>
        <w:t xml:space="preserve">ty te nie będą dotyczyły pozostałego zakresu rzeczowego wskazanego w art. 3 ust. 1 pkt 5) ustawy Pzp </w:t>
      </w:r>
      <w:proofErr w:type="spellStart"/>
      <w:r w:rsidR="004B3DBC" w:rsidRPr="007E117D">
        <w:rPr>
          <w:rFonts w:ascii="Verdana" w:hAnsi="Verdana"/>
        </w:rPr>
        <w:t>tj</w:t>
      </w:r>
      <w:proofErr w:type="spellEnd"/>
      <w:r w:rsidR="004B3DBC" w:rsidRPr="007E117D">
        <w:rPr>
          <w:rFonts w:ascii="Verdana" w:hAnsi="Verdana"/>
        </w:rPr>
        <w:t xml:space="preserve"> </w:t>
      </w:r>
      <w:r w:rsidR="004B3DBC" w:rsidRPr="007E117D">
        <w:rPr>
          <w:rFonts w:ascii="Verdana" w:eastAsia="Calibri" w:hAnsi="Verdana" w:cs="Times-Roman"/>
          <w:lang w:eastAsia="en-US"/>
        </w:rPr>
        <w:t>budowy szpitali, obiektów sportowych, rekreacyjnych, i wypoczynk</w:t>
      </w:r>
      <w:r w:rsidR="004B3DBC" w:rsidRPr="007E117D">
        <w:rPr>
          <w:rFonts w:ascii="Verdana" w:eastAsia="Calibri" w:hAnsi="Verdana" w:cs="Times-Roman"/>
          <w:lang w:eastAsia="en-US"/>
        </w:rPr>
        <w:t>o</w:t>
      </w:r>
      <w:r w:rsidR="004B3DBC" w:rsidRPr="007E117D">
        <w:rPr>
          <w:rFonts w:ascii="Verdana" w:eastAsia="Calibri" w:hAnsi="Verdana" w:cs="Times-Roman"/>
          <w:lang w:eastAsia="en-US"/>
        </w:rPr>
        <w:t>wych, budynków szkolnych i uniwersyteckich oraz budynków wykorzystywanych do celów admin</w:t>
      </w:r>
      <w:r w:rsidR="004B3DBC" w:rsidRPr="007E117D">
        <w:rPr>
          <w:rFonts w:ascii="Verdana" w:eastAsia="Calibri" w:hAnsi="Verdana" w:cs="Times-Roman"/>
          <w:lang w:eastAsia="en-US"/>
        </w:rPr>
        <w:t>i</w:t>
      </w:r>
      <w:r w:rsidR="004B3DBC" w:rsidRPr="007E117D">
        <w:rPr>
          <w:rFonts w:ascii="Verdana" w:eastAsia="Calibri" w:hAnsi="Verdana" w:cs="Times-Roman"/>
          <w:lang w:eastAsia="en-US"/>
        </w:rPr>
        <w:t xml:space="preserve">stracyjnych. </w:t>
      </w:r>
    </w:p>
    <w:p w:rsidR="004B3DBC" w:rsidRPr="007E117D" w:rsidRDefault="004B3DBC" w:rsidP="004B3DBC">
      <w:pPr>
        <w:spacing w:line="360" w:lineRule="auto"/>
        <w:jc w:val="both"/>
        <w:rPr>
          <w:rFonts w:ascii="Verdana" w:eastAsia="Calibri" w:hAnsi="Verdana" w:cs="Times-Roman"/>
          <w:lang w:eastAsia="en-US"/>
        </w:rPr>
      </w:pPr>
    </w:p>
    <w:p w:rsidR="009D3BAB" w:rsidRPr="007E117D" w:rsidRDefault="004B3DBC" w:rsidP="004B3DBC">
      <w:pPr>
        <w:spacing w:line="360" w:lineRule="auto"/>
        <w:jc w:val="both"/>
        <w:rPr>
          <w:rFonts w:ascii="Verdana" w:eastAsia="Calibri" w:hAnsi="Verdana" w:cs="TTE2t00"/>
          <w:lang w:eastAsia="en-US"/>
        </w:rPr>
      </w:pPr>
      <w:r w:rsidRPr="007E117D">
        <w:rPr>
          <w:rFonts w:ascii="Verdana" w:eastAsia="Calibri" w:hAnsi="Verdana" w:cs="Times-Roman"/>
          <w:lang w:eastAsia="en-US"/>
        </w:rPr>
        <w:t>Załącznik 2 do dyrektywy obiekty inżynierii lądowej i wodnej ujmuje w grupie 45.2 dot</w:t>
      </w:r>
      <w:r w:rsidRPr="007E117D">
        <w:rPr>
          <w:rFonts w:ascii="Verdana" w:eastAsia="Calibri" w:hAnsi="Verdana" w:cs="Times-Roman"/>
          <w:lang w:eastAsia="en-US"/>
        </w:rPr>
        <w:t>y</w:t>
      </w:r>
      <w:r w:rsidRPr="007E117D">
        <w:rPr>
          <w:rFonts w:ascii="Verdana" w:eastAsia="Calibri" w:hAnsi="Verdana" w:cs="Times-Roman"/>
          <w:lang w:eastAsia="en-US"/>
        </w:rPr>
        <w:t xml:space="preserve">czącej wznoszenia kompletnych obiektów budowlanych lub ich </w:t>
      </w:r>
      <w:r w:rsidR="00A34EDF" w:rsidRPr="007E117D">
        <w:rPr>
          <w:rFonts w:ascii="Verdana" w:eastAsia="Calibri" w:hAnsi="Verdana" w:cs="Times-Roman"/>
          <w:lang w:eastAsia="en-US"/>
        </w:rPr>
        <w:t>cz</w:t>
      </w:r>
      <w:r w:rsidR="00A34EDF" w:rsidRPr="007E117D">
        <w:rPr>
          <w:rFonts w:ascii="Verdana" w:eastAsia="Calibri" w:hAnsi="Verdana" w:cs="TTE2t00"/>
          <w:lang w:eastAsia="en-US"/>
        </w:rPr>
        <w:t>ęś</w:t>
      </w:r>
      <w:r w:rsidR="00A34EDF" w:rsidRPr="007E117D">
        <w:rPr>
          <w:rFonts w:ascii="Verdana" w:eastAsia="Calibri" w:hAnsi="Verdana" w:cs="Times-Roman"/>
          <w:lang w:eastAsia="en-US"/>
        </w:rPr>
        <w:t>ci</w:t>
      </w:r>
      <w:r w:rsidRPr="007E117D">
        <w:rPr>
          <w:rFonts w:ascii="Verdana" w:eastAsia="Calibri" w:hAnsi="Verdana" w:cs="Times-Roman"/>
          <w:lang w:eastAsia="en-US"/>
        </w:rPr>
        <w:t xml:space="preserve"> oraz inżynierii l</w:t>
      </w:r>
      <w:r w:rsidRPr="007E117D">
        <w:rPr>
          <w:rFonts w:ascii="Verdana" w:eastAsia="Calibri" w:hAnsi="Verdana" w:cs="TTE2t00"/>
          <w:lang w:eastAsia="en-US"/>
        </w:rPr>
        <w:t>ąd</w:t>
      </w:r>
      <w:r w:rsidRPr="007E117D">
        <w:rPr>
          <w:rFonts w:ascii="Verdana" w:eastAsia="Calibri" w:hAnsi="Verdana" w:cs="TTE2t00"/>
          <w:lang w:eastAsia="en-US"/>
        </w:rPr>
        <w:t>o</w:t>
      </w:r>
      <w:r w:rsidRPr="007E117D">
        <w:rPr>
          <w:rFonts w:ascii="Verdana" w:eastAsia="Calibri" w:hAnsi="Verdana" w:cs="TTE2t00"/>
          <w:lang w:eastAsia="en-US"/>
        </w:rPr>
        <w:t>wej i wodnej. W załączniku tym</w:t>
      </w:r>
      <w:r w:rsidR="009D3BAB" w:rsidRPr="007E117D">
        <w:rPr>
          <w:rFonts w:ascii="Verdana" w:eastAsia="Calibri" w:hAnsi="Verdana" w:cs="TTE2t00"/>
          <w:lang w:eastAsia="en-US"/>
        </w:rPr>
        <w:t xml:space="preserve"> w klasie 45.21. wskazano, że obejmuje ona poza rob</w:t>
      </w:r>
      <w:r w:rsidR="009D3BAB" w:rsidRPr="007E117D">
        <w:rPr>
          <w:rFonts w:ascii="Verdana" w:eastAsia="Calibri" w:hAnsi="Verdana" w:cs="TTE2t00"/>
          <w:lang w:eastAsia="en-US"/>
        </w:rPr>
        <w:t>o</w:t>
      </w:r>
      <w:r w:rsidR="009D3BAB" w:rsidRPr="007E117D">
        <w:rPr>
          <w:rFonts w:ascii="Verdana" w:eastAsia="Calibri" w:hAnsi="Verdana" w:cs="TTE2t00"/>
          <w:lang w:eastAsia="en-US"/>
        </w:rPr>
        <w:t>tami ozn</w:t>
      </w:r>
      <w:r w:rsidR="009D3BAB" w:rsidRPr="007E117D">
        <w:rPr>
          <w:rFonts w:ascii="Verdana" w:eastAsia="Calibri" w:hAnsi="Verdana" w:cs="TTE2t00"/>
          <w:lang w:eastAsia="en-US"/>
        </w:rPr>
        <w:t>a</w:t>
      </w:r>
      <w:r w:rsidR="009D3BAB" w:rsidRPr="007E117D">
        <w:rPr>
          <w:rFonts w:ascii="Verdana" w:eastAsia="Calibri" w:hAnsi="Verdana" w:cs="TTE2t00"/>
          <w:lang w:eastAsia="en-US"/>
        </w:rPr>
        <w:t>czonymi kodem CPV rozpoczynającym się od cyfr 4521, także ro</w:t>
      </w:r>
      <w:r w:rsidR="004706A3" w:rsidRPr="007E117D">
        <w:rPr>
          <w:rFonts w:ascii="Verdana" w:eastAsia="Calibri" w:hAnsi="Verdana" w:cs="TTE2t00"/>
          <w:lang w:eastAsia="en-US"/>
        </w:rPr>
        <w:t>boty oznaczone kodem 45232000 oraz kodem 45220000</w:t>
      </w:r>
    </w:p>
    <w:p w:rsidR="009D3BAB" w:rsidRPr="007E117D" w:rsidRDefault="009D3BAB" w:rsidP="004B3DBC">
      <w:pPr>
        <w:spacing w:line="360" w:lineRule="auto"/>
        <w:jc w:val="both"/>
        <w:rPr>
          <w:rFonts w:ascii="Verdana" w:eastAsia="Calibri" w:hAnsi="Verdana" w:cs="TTE2t00"/>
          <w:lang w:eastAsia="en-US"/>
        </w:rPr>
      </w:pPr>
    </w:p>
    <w:p w:rsidR="004B3DBC" w:rsidRPr="007E117D" w:rsidRDefault="009D3BAB" w:rsidP="004B3DBC">
      <w:pPr>
        <w:spacing w:line="360" w:lineRule="auto"/>
        <w:jc w:val="both"/>
        <w:rPr>
          <w:rFonts w:ascii="Verdana" w:eastAsia="Calibri" w:hAnsi="Verdana"/>
          <w:lang w:eastAsia="en-US"/>
        </w:rPr>
      </w:pPr>
      <w:r w:rsidRPr="007E117D">
        <w:rPr>
          <w:rFonts w:ascii="Verdana" w:eastAsia="Calibri" w:hAnsi="Verdana"/>
          <w:lang w:eastAsia="en-US"/>
        </w:rPr>
        <w:t>R</w:t>
      </w:r>
      <w:r w:rsidR="004B3DBC" w:rsidRPr="007E117D">
        <w:rPr>
          <w:rFonts w:ascii="Verdana" w:eastAsia="Calibri" w:hAnsi="Verdana"/>
          <w:lang w:eastAsia="en-US"/>
        </w:rPr>
        <w:t>oboty rozpoczynające się od cyfr 452</w:t>
      </w:r>
      <w:r w:rsidRPr="007E117D">
        <w:rPr>
          <w:rFonts w:ascii="Verdana" w:eastAsia="Calibri" w:hAnsi="Verdana"/>
          <w:lang w:eastAsia="en-US"/>
        </w:rPr>
        <w:t>3</w:t>
      </w:r>
      <w:r w:rsidR="004B3DBC" w:rsidRPr="007E117D">
        <w:rPr>
          <w:rFonts w:ascii="Verdana" w:eastAsia="Calibri" w:hAnsi="Verdana"/>
          <w:lang w:eastAsia="en-US"/>
        </w:rPr>
        <w:t xml:space="preserve">- - - -, będą obiektami inżynierii lądowej. </w:t>
      </w:r>
      <w:r w:rsidRPr="007E117D">
        <w:rPr>
          <w:rFonts w:ascii="Verdana" w:eastAsia="Calibri" w:hAnsi="Verdana"/>
          <w:lang w:eastAsia="en-US"/>
        </w:rPr>
        <w:t xml:space="preserve">Zgodnie z rozporządzeniem w sprawie CPV są to m in. </w:t>
      </w:r>
      <w:r w:rsidR="004706A3" w:rsidRPr="007E117D">
        <w:rPr>
          <w:rFonts w:ascii="Verdana" w:eastAsia="Calibri" w:hAnsi="Verdana"/>
          <w:lang w:eastAsia="en-US"/>
        </w:rPr>
        <w:t xml:space="preserve"> następujące roboty: </w:t>
      </w:r>
    </w:p>
    <w:p w:rsidR="004706A3" w:rsidRPr="007E117D" w:rsidRDefault="004706A3" w:rsidP="007E117D">
      <w:pPr>
        <w:numPr>
          <w:ilvl w:val="0"/>
          <w:numId w:val="21"/>
        </w:numPr>
        <w:autoSpaceDE w:val="0"/>
        <w:autoSpaceDN w:val="0"/>
        <w:adjustRightInd w:val="0"/>
        <w:spacing w:line="360" w:lineRule="auto"/>
        <w:rPr>
          <w:rFonts w:ascii="Verdana" w:hAnsi="Verdana" w:cs="EUAlbertina"/>
        </w:rPr>
      </w:pPr>
      <w:r w:rsidRPr="007E117D">
        <w:rPr>
          <w:rFonts w:ascii="Verdana" w:hAnsi="Verdana" w:cs="EUAlbertina"/>
        </w:rPr>
        <w:t>45232300-5 Roboty budowlane i pomocnicze w zakresie linii telefonicznych i ci</w:t>
      </w:r>
      <w:r w:rsidRPr="007E117D">
        <w:rPr>
          <w:rFonts w:ascii="Verdana" w:hAnsi="Verdana" w:cs="EUAlbertina+01"/>
        </w:rPr>
        <w:t>ą</w:t>
      </w:r>
      <w:r w:rsidRPr="007E117D">
        <w:rPr>
          <w:rFonts w:ascii="Verdana" w:hAnsi="Verdana" w:cs="EUAlbertina"/>
        </w:rPr>
        <w:t>gów k</w:t>
      </w:r>
      <w:r w:rsidRPr="007E117D">
        <w:rPr>
          <w:rFonts w:ascii="Verdana" w:hAnsi="Verdana" w:cs="EUAlbertina"/>
        </w:rPr>
        <w:t>o</w:t>
      </w:r>
      <w:r w:rsidRPr="007E117D">
        <w:rPr>
          <w:rFonts w:ascii="Verdana" w:hAnsi="Verdana" w:cs="EUAlbertina"/>
        </w:rPr>
        <w:t>munikacyjnych</w:t>
      </w:r>
      <w:r w:rsidR="007E117D">
        <w:rPr>
          <w:rFonts w:ascii="Verdana" w:hAnsi="Verdana" w:cs="EUAlbertina"/>
        </w:rPr>
        <w:t>,</w:t>
      </w:r>
    </w:p>
    <w:p w:rsidR="004706A3" w:rsidRPr="007E117D" w:rsidRDefault="004706A3" w:rsidP="007E117D">
      <w:pPr>
        <w:numPr>
          <w:ilvl w:val="0"/>
          <w:numId w:val="21"/>
        </w:numPr>
        <w:autoSpaceDE w:val="0"/>
        <w:autoSpaceDN w:val="0"/>
        <w:adjustRightInd w:val="0"/>
        <w:spacing w:line="360" w:lineRule="auto"/>
        <w:rPr>
          <w:rFonts w:ascii="Verdana" w:hAnsi="Verdana" w:cs="EUAlbertina"/>
        </w:rPr>
      </w:pPr>
      <w:r w:rsidRPr="007E117D">
        <w:rPr>
          <w:rFonts w:ascii="Verdana" w:hAnsi="Verdana" w:cs="EUAlbertina"/>
        </w:rPr>
        <w:t>45232310-8 Roboty budowlane w zakresie linii telefonicznych</w:t>
      </w:r>
      <w:r w:rsidR="007E117D">
        <w:rPr>
          <w:rFonts w:ascii="Verdana" w:hAnsi="Verdana" w:cs="EUAlbertina"/>
        </w:rPr>
        <w:t>,</w:t>
      </w:r>
    </w:p>
    <w:p w:rsidR="004706A3" w:rsidRPr="007E117D" w:rsidRDefault="004706A3" w:rsidP="007E117D">
      <w:pPr>
        <w:numPr>
          <w:ilvl w:val="0"/>
          <w:numId w:val="21"/>
        </w:numPr>
        <w:autoSpaceDE w:val="0"/>
        <w:autoSpaceDN w:val="0"/>
        <w:adjustRightInd w:val="0"/>
        <w:spacing w:line="360" w:lineRule="auto"/>
        <w:rPr>
          <w:rFonts w:ascii="Verdana" w:hAnsi="Verdana" w:cs="EUAlbertina"/>
        </w:rPr>
      </w:pPr>
      <w:r w:rsidRPr="007E117D">
        <w:rPr>
          <w:rFonts w:ascii="Verdana" w:hAnsi="Verdana" w:cs="EUAlbertina"/>
        </w:rPr>
        <w:t>45232311-5 Przydro</w:t>
      </w:r>
      <w:r w:rsidRPr="007E117D">
        <w:rPr>
          <w:rFonts w:ascii="Verdana" w:hAnsi="Verdana" w:cs="EUAlbertina+01"/>
        </w:rPr>
        <w:t>ż</w:t>
      </w:r>
      <w:r w:rsidRPr="007E117D">
        <w:rPr>
          <w:rFonts w:ascii="Verdana" w:hAnsi="Verdana" w:cs="EUAlbertina"/>
        </w:rPr>
        <w:t>ne telefoniczne linie awaryjne</w:t>
      </w:r>
      <w:r w:rsidR="007E117D">
        <w:rPr>
          <w:rFonts w:ascii="Verdana" w:hAnsi="Verdana" w:cs="EUAlbertina"/>
        </w:rPr>
        <w:t>,</w:t>
      </w:r>
    </w:p>
    <w:p w:rsidR="004706A3" w:rsidRPr="007E117D" w:rsidRDefault="004706A3" w:rsidP="007E117D">
      <w:pPr>
        <w:numPr>
          <w:ilvl w:val="0"/>
          <w:numId w:val="21"/>
        </w:numPr>
        <w:autoSpaceDE w:val="0"/>
        <w:autoSpaceDN w:val="0"/>
        <w:adjustRightInd w:val="0"/>
        <w:spacing w:line="360" w:lineRule="auto"/>
        <w:rPr>
          <w:rFonts w:ascii="Verdana" w:hAnsi="Verdana" w:cs="EUAlbertina"/>
        </w:rPr>
      </w:pPr>
      <w:r w:rsidRPr="007E117D">
        <w:rPr>
          <w:rFonts w:ascii="Verdana" w:hAnsi="Verdana" w:cs="EUAlbertina"/>
        </w:rPr>
        <w:t>45232320-1 Kablowe linie nadawcze</w:t>
      </w:r>
      <w:r w:rsidR="007E117D">
        <w:rPr>
          <w:rFonts w:ascii="Verdana" w:hAnsi="Verdana" w:cs="EUAlbertina"/>
        </w:rPr>
        <w:t>,</w:t>
      </w:r>
    </w:p>
    <w:p w:rsidR="004706A3" w:rsidRPr="007E117D" w:rsidRDefault="004706A3" w:rsidP="007E117D">
      <w:pPr>
        <w:numPr>
          <w:ilvl w:val="0"/>
          <w:numId w:val="21"/>
        </w:numPr>
        <w:autoSpaceDE w:val="0"/>
        <w:autoSpaceDN w:val="0"/>
        <w:adjustRightInd w:val="0"/>
        <w:spacing w:line="360" w:lineRule="auto"/>
        <w:rPr>
          <w:rFonts w:ascii="Verdana" w:hAnsi="Verdana" w:cs="EUAlbertina"/>
        </w:rPr>
      </w:pPr>
      <w:r w:rsidRPr="007E117D">
        <w:rPr>
          <w:rFonts w:ascii="Verdana" w:hAnsi="Verdana" w:cs="EUAlbertina"/>
        </w:rPr>
        <w:t>45232330-4 Wznoszenie masztów antenowych</w:t>
      </w:r>
      <w:r w:rsidR="007E117D">
        <w:rPr>
          <w:rFonts w:ascii="Verdana" w:hAnsi="Verdana" w:cs="EUAlbertina"/>
        </w:rPr>
        <w:t>,</w:t>
      </w:r>
    </w:p>
    <w:p w:rsidR="004706A3" w:rsidRPr="007E117D" w:rsidRDefault="004706A3" w:rsidP="007E117D">
      <w:pPr>
        <w:numPr>
          <w:ilvl w:val="0"/>
          <w:numId w:val="21"/>
        </w:numPr>
        <w:autoSpaceDE w:val="0"/>
        <w:autoSpaceDN w:val="0"/>
        <w:adjustRightInd w:val="0"/>
        <w:spacing w:line="360" w:lineRule="auto"/>
        <w:rPr>
          <w:rFonts w:ascii="Verdana" w:hAnsi="Verdana" w:cs="EUAlbertina"/>
        </w:rPr>
      </w:pPr>
      <w:r w:rsidRPr="007E117D">
        <w:rPr>
          <w:rFonts w:ascii="Verdana" w:hAnsi="Verdana" w:cs="EUAlbertina"/>
        </w:rPr>
        <w:t>45232331-1 Roboty dodatkowe w zakresie nadawania</w:t>
      </w:r>
      <w:r w:rsidR="007E117D">
        <w:rPr>
          <w:rFonts w:ascii="Verdana" w:hAnsi="Verdana" w:cs="EUAlbertina"/>
        </w:rPr>
        <w:t>,</w:t>
      </w:r>
    </w:p>
    <w:p w:rsidR="004706A3" w:rsidRPr="007E117D" w:rsidRDefault="004706A3" w:rsidP="007E117D">
      <w:pPr>
        <w:numPr>
          <w:ilvl w:val="0"/>
          <w:numId w:val="21"/>
        </w:numPr>
        <w:autoSpaceDE w:val="0"/>
        <w:autoSpaceDN w:val="0"/>
        <w:adjustRightInd w:val="0"/>
        <w:spacing w:line="360" w:lineRule="auto"/>
        <w:rPr>
          <w:rFonts w:ascii="Verdana" w:hAnsi="Verdana" w:cs="EUAlbertina"/>
        </w:rPr>
      </w:pPr>
      <w:r w:rsidRPr="007E117D">
        <w:rPr>
          <w:rFonts w:ascii="Verdana" w:hAnsi="Verdana" w:cs="EUAlbertina"/>
        </w:rPr>
        <w:t>45232332-8 Telekomunikacyjne roboty dodatkowe</w:t>
      </w:r>
      <w:r w:rsidR="007E117D">
        <w:rPr>
          <w:rFonts w:ascii="Verdana" w:hAnsi="Verdana" w:cs="EUAlbertina"/>
        </w:rPr>
        <w:t>,</w:t>
      </w:r>
    </w:p>
    <w:p w:rsidR="004B3DBC" w:rsidRPr="007E117D" w:rsidRDefault="004706A3" w:rsidP="007E117D">
      <w:pPr>
        <w:numPr>
          <w:ilvl w:val="0"/>
          <w:numId w:val="21"/>
        </w:numPr>
        <w:spacing w:line="360" w:lineRule="auto"/>
        <w:jc w:val="both"/>
        <w:rPr>
          <w:rFonts w:ascii="Verdana" w:eastAsia="Calibri" w:hAnsi="Verdana"/>
          <w:lang w:eastAsia="en-US"/>
        </w:rPr>
      </w:pPr>
      <w:r w:rsidRPr="007E117D">
        <w:rPr>
          <w:rFonts w:ascii="Verdana" w:hAnsi="Verdana" w:cs="EUAlbertina"/>
        </w:rPr>
        <w:t>45232340-7 Roboty budowlane w zakresie masztów telefonii komórkowej</w:t>
      </w:r>
      <w:r w:rsidR="007E117D">
        <w:rPr>
          <w:rFonts w:ascii="Verdana" w:hAnsi="Verdana" w:cs="EUAlbertina"/>
        </w:rPr>
        <w:t>.</w:t>
      </w:r>
    </w:p>
    <w:p w:rsidR="007E117D" w:rsidRDefault="007E117D" w:rsidP="004706A3">
      <w:pPr>
        <w:spacing w:line="360" w:lineRule="auto"/>
        <w:jc w:val="both"/>
        <w:rPr>
          <w:rFonts w:ascii="Verdana" w:eastAsia="Calibri" w:hAnsi="Verdana"/>
          <w:lang w:eastAsia="en-US"/>
        </w:rPr>
      </w:pPr>
    </w:p>
    <w:p w:rsidR="004706A3" w:rsidRPr="007E117D" w:rsidRDefault="004706A3" w:rsidP="004706A3">
      <w:pPr>
        <w:spacing w:line="360" w:lineRule="auto"/>
        <w:jc w:val="both"/>
        <w:rPr>
          <w:rFonts w:ascii="Verdana" w:hAnsi="Verdana" w:cs="EUAlbertina"/>
        </w:rPr>
      </w:pPr>
      <w:r w:rsidRPr="007E117D">
        <w:rPr>
          <w:rFonts w:ascii="Verdana" w:eastAsia="Calibri" w:hAnsi="Verdana"/>
          <w:lang w:eastAsia="en-US"/>
        </w:rPr>
        <w:t>Obejmują one swoim zakresem czynności budowy napowietrznej sieci światł</w:t>
      </w:r>
      <w:r w:rsidR="007E117D">
        <w:rPr>
          <w:rFonts w:ascii="Verdana" w:eastAsia="Calibri" w:hAnsi="Verdana"/>
          <w:lang w:eastAsia="en-US"/>
        </w:rPr>
        <w:t xml:space="preserve">owodowej a także sieci radiowej.  </w:t>
      </w:r>
      <w:r w:rsidRPr="007E117D">
        <w:rPr>
          <w:rFonts w:ascii="Verdana" w:hAnsi="Verdana" w:cs="EUAlbertina"/>
        </w:rPr>
        <w:t>Z kolei układanie kabli w kanalizacji podziemnej to oznaczone k</w:t>
      </w:r>
      <w:r w:rsidRPr="007E117D">
        <w:rPr>
          <w:rFonts w:ascii="Verdana" w:hAnsi="Verdana" w:cs="EUAlbertina"/>
        </w:rPr>
        <w:t>o</w:t>
      </w:r>
      <w:r w:rsidRPr="007E117D">
        <w:rPr>
          <w:rFonts w:ascii="Verdana" w:hAnsi="Verdana" w:cs="EUAlbertina"/>
        </w:rPr>
        <w:t>dem 45221250-9 Roboty podziemne inne ni</w:t>
      </w:r>
      <w:r w:rsidRPr="007E117D">
        <w:rPr>
          <w:rFonts w:ascii="Verdana" w:hAnsi="Verdana" w:cs="EUAlbertina+01"/>
        </w:rPr>
        <w:t xml:space="preserve">ż </w:t>
      </w:r>
      <w:r w:rsidRPr="007E117D">
        <w:rPr>
          <w:rFonts w:ascii="Verdana" w:hAnsi="Verdana" w:cs="EUAlbertina"/>
        </w:rPr>
        <w:t>dotycz</w:t>
      </w:r>
      <w:r w:rsidRPr="007E117D">
        <w:rPr>
          <w:rFonts w:ascii="Verdana" w:hAnsi="Verdana" w:cs="EUAlbertina+01"/>
        </w:rPr>
        <w:t>ą</w:t>
      </w:r>
      <w:r w:rsidRPr="007E117D">
        <w:rPr>
          <w:rFonts w:ascii="Verdana" w:hAnsi="Verdana" w:cs="EUAlbertina"/>
        </w:rPr>
        <w:t>ce tuneli, szybów i kolei podzie</w:t>
      </w:r>
      <w:r w:rsidRPr="007E117D">
        <w:rPr>
          <w:rFonts w:ascii="Verdana" w:hAnsi="Verdana" w:cs="EUAlbertina"/>
        </w:rPr>
        <w:t>m</w:t>
      </w:r>
      <w:r w:rsidRPr="007E117D">
        <w:rPr>
          <w:rFonts w:ascii="Verdana" w:hAnsi="Verdana" w:cs="EUAlbertina"/>
        </w:rPr>
        <w:t>nej. Pierwsze 4 cyfry kodu także przesądzają, że są to roboty z zakresu inżynierii ląd</w:t>
      </w:r>
      <w:r w:rsidRPr="007E117D">
        <w:rPr>
          <w:rFonts w:ascii="Verdana" w:hAnsi="Verdana" w:cs="EUAlbertina"/>
        </w:rPr>
        <w:t>o</w:t>
      </w:r>
      <w:r w:rsidRPr="007E117D">
        <w:rPr>
          <w:rFonts w:ascii="Verdana" w:hAnsi="Verdana" w:cs="EUAlbertina"/>
        </w:rPr>
        <w:t>wej.</w:t>
      </w:r>
    </w:p>
    <w:p w:rsidR="004706A3" w:rsidRPr="007E117D" w:rsidRDefault="004706A3" w:rsidP="004B3DBC">
      <w:pPr>
        <w:spacing w:line="360" w:lineRule="auto"/>
        <w:jc w:val="both"/>
        <w:rPr>
          <w:rFonts w:ascii="Verdana" w:eastAsia="Calibri" w:hAnsi="Verdana"/>
          <w:lang w:eastAsia="en-US"/>
        </w:rPr>
      </w:pPr>
    </w:p>
    <w:p w:rsidR="004B3DBC" w:rsidRPr="007E117D" w:rsidRDefault="004B3DBC" w:rsidP="004B3DBC">
      <w:pPr>
        <w:spacing w:line="360" w:lineRule="auto"/>
        <w:jc w:val="both"/>
        <w:rPr>
          <w:rFonts w:ascii="Verdana" w:eastAsia="Calibri" w:hAnsi="Verdana"/>
          <w:lang w:eastAsia="en-US"/>
        </w:rPr>
      </w:pPr>
      <w:r w:rsidRPr="007E117D">
        <w:rPr>
          <w:rFonts w:ascii="Verdana" w:eastAsia="Calibri" w:hAnsi="Verdana"/>
          <w:lang w:eastAsia="en-US"/>
        </w:rPr>
        <w:t xml:space="preserve">Tym samym przy współfinansowaniu </w:t>
      </w:r>
      <w:r w:rsidR="004706A3" w:rsidRPr="007E117D">
        <w:rPr>
          <w:rFonts w:ascii="Verdana" w:eastAsia="Calibri" w:hAnsi="Verdana"/>
          <w:lang w:eastAsia="en-US"/>
        </w:rPr>
        <w:t xml:space="preserve">takich </w:t>
      </w:r>
      <w:r w:rsidRPr="007E117D">
        <w:rPr>
          <w:rFonts w:ascii="Verdana" w:eastAsia="Calibri" w:hAnsi="Verdana"/>
          <w:lang w:eastAsia="en-US"/>
        </w:rPr>
        <w:t>robót budowlanych w ponad 50% ze środków publicznych, każdy podmiot nabywający roboty będzie na podstawie art. 3 ust. 1 pkt 5) ustawy Pzp zobowiązany do stosowania przepisów tej ustawy (gdy wartość zamówienia przekro</w:t>
      </w:r>
      <w:r w:rsidR="004706A3" w:rsidRPr="007E117D">
        <w:rPr>
          <w:rFonts w:ascii="Verdana" w:eastAsia="Calibri" w:hAnsi="Verdana"/>
          <w:lang w:eastAsia="en-US"/>
        </w:rPr>
        <w:t>czy 5 225 000 e</w:t>
      </w:r>
      <w:r w:rsidR="004706A3" w:rsidRPr="007E117D">
        <w:rPr>
          <w:rFonts w:ascii="Verdana" w:eastAsia="Calibri" w:hAnsi="Verdana"/>
          <w:lang w:eastAsia="en-US"/>
        </w:rPr>
        <w:t>u</w:t>
      </w:r>
      <w:r w:rsidR="004706A3" w:rsidRPr="007E117D">
        <w:rPr>
          <w:rFonts w:ascii="Verdana" w:eastAsia="Calibri" w:hAnsi="Verdana"/>
          <w:lang w:eastAsia="en-US"/>
        </w:rPr>
        <w:t xml:space="preserve">ro) o ile przepis szczególny nie będzie stanowił inaczej. </w:t>
      </w:r>
    </w:p>
    <w:p w:rsidR="004B3DBC" w:rsidRPr="007E117D" w:rsidRDefault="004B3DBC" w:rsidP="004B3DBC">
      <w:pPr>
        <w:spacing w:line="360" w:lineRule="auto"/>
        <w:jc w:val="both"/>
        <w:rPr>
          <w:rFonts w:ascii="Verdana" w:eastAsia="Calibri" w:hAnsi="Verdana"/>
          <w:i/>
          <w:lang w:eastAsia="en-US"/>
        </w:rPr>
      </w:pPr>
    </w:p>
    <w:p w:rsidR="006B4F78" w:rsidRPr="007E117D" w:rsidRDefault="004B3DBC" w:rsidP="00FD57A1">
      <w:pPr>
        <w:spacing w:line="360" w:lineRule="auto"/>
        <w:jc w:val="both"/>
        <w:rPr>
          <w:rFonts w:ascii="Verdana" w:hAnsi="Verdana"/>
        </w:rPr>
      </w:pPr>
      <w:r w:rsidRPr="007E117D">
        <w:rPr>
          <w:rFonts w:ascii="Verdana" w:eastAsia="Calibri" w:hAnsi="Verdana"/>
          <w:lang w:eastAsia="en-US"/>
        </w:rPr>
        <w:t xml:space="preserve">Poza </w:t>
      </w:r>
      <w:r w:rsidR="00FD57A1" w:rsidRPr="007E117D">
        <w:rPr>
          <w:rFonts w:ascii="Verdana" w:eastAsia="Calibri" w:hAnsi="Verdana"/>
          <w:lang w:eastAsia="en-US"/>
        </w:rPr>
        <w:t xml:space="preserve">w/w </w:t>
      </w:r>
      <w:r w:rsidRPr="007E117D">
        <w:rPr>
          <w:rFonts w:ascii="Verdana" w:eastAsia="Calibri" w:hAnsi="Verdana"/>
          <w:lang w:eastAsia="en-US"/>
        </w:rPr>
        <w:t>robotami budowlanymi</w:t>
      </w:r>
      <w:r w:rsidR="00FD57A1" w:rsidRPr="007E117D">
        <w:rPr>
          <w:rFonts w:ascii="Verdana" w:eastAsia="Calibri" w:hAnsi="Verdana"/>
          <w:lang w:eastAsia="en-US"/>
        </w:rPr>
        <w:t xml:space="preserve"> zakres </w:t>
      </w:r>
      <w:r w:rsidR="00A34EDF" w:rsidRPr="007E117D">
        <w:rPr>
          <w:rFonts w:ascii="Verdana" w:eastAsia="Calibri" w:hAnsi="Verdana"/>
          <w:lang w:eastAsia="en-US"/>
        </w:rPr>
        <w:t>czynności</w:t>
      </w:r>
      <w:r w:rsidR="00FD57A1" w:rsidRPr="007E117D">
        <w:rPr>
          <w:rFonts w:ascii="Verdana" w:eastAsia="Calibri" w:hAnsi="Verdana"/>
          <w:lang w:eastAsia="en-US"/>
        </w:rPr>
        <w:t xml:space="preserve"> w ramach projektu m</w:t>
      </w:r>
      <w:r w:rsidR="00FD57A1" w:rsidRPr="007E117D">
        <w:rPr>
          <w:rFonts w:ascii="Verdana" w:eastAsia="Calibri" w:hAnsi="Verdana"/>
          <w:lang w:eastAsia="en-US"/>
        </w:rPr>
        <w:t>o</w:t>
      </w:r>
      <w:r w:rsidR="00FD57A1" w:rsidRPr="007E117D">
        <w:rPr>
          <w:rFonts w:ascii="Verdana" w:eastAsia="Calibri" w:hAnsi="Verdana"/>
          <w:lang w:eastAsia="en-US"/>
        </w:rPr>
        <w:t xml:space="preserve">że obejmować także instalowanie urządzeń telekomunikacyjnych </w:t>
      </w:r>
      <w:r w:rsidRPr="007E117D">
        <w:rPr>
          <w:rFonts w:ascii="Verdana" w:eastAsia="Calibri" w:hAnsi="Verdana"/>
          <w:lang w:eastAsia="en-US"/>
        </w:rPr>
        <w:t>obję</w:t>
      </w:r>
      <w:r w:rsidR="00FD57A1" w:rsidRPr="007E117D">
        <w:rPr>
          <w:rFonts w:ascii="Verdana" w:eastAsia="Calibri" w:hAnsi="Verdana"/>
          <w:lang w:eastAsia="en-US"/>
        </w:rPr>
        <w:t>te</w:t>
      </w:r>
      <w:r w:rsidRPr="007E117D">
        <w:rPr>
          <w:rFonts w:ascii="Verdana" w:eastAsia="Calibri" w:hAnsi="Verdana"/>
          <w:lang w:eastAsia="en-US"/>
        </w:rPr>
        <w:t xml:space="preserve"> kodem CPV</w:t>
      </w:r>
      <w:r w:rsidR="00FD57A1" w:rsidRPr="007E117D">
        <w:rPr>
          <w:rFonts w:ascii="Verdana" w:eastAsia="Calibri" w:hAnsi="Verdana"/>
          <w:lang w:eastAsia="en-US"/>
        </w:rPr>
        <w:t>4531000-1</w:t>
      </w:r>
      <w:r w:rsidRPr="007E117D">
        <w:rPr>
          <w:rFonts w:ascii="Verdana" w:eastAsia="Calibri" w:hAnsi="Verdana"/>
          <w:i/>
          <w:lang w:eastAsia="en-US"/>
        </w:rPr>
        <w:t xml:space="preserve">. </w:t>
      </w:r>
      <w:r w:rsidR="00FD57A1" w:rsidRPr="007E117D">
        <w:rPr>
          <w:rFonts w:ascii="Verdana" w:eastAsia="Calibri" w:hAnsi="Verdana"/>
          <w:lang w:eastAsia="en-US"/>
        </w:rPr>
        <w:t>Instal</w:t>
      </w:r>
      <w:r w:rsidR="00FD57A1" w:rsidRPr="007E117D">
        <w:rPr>
          <w:rFonts w:ascii="Verdana" w:eastAsia="Calibri" w:hAnsi="Verdana"/>
          <w:lang w:eastAsia="en-US"/>
        </w:rPr>
        <w:t>o</w:t>
      </w:r>
      <w:r w:rsidR="00FD57A1" w:rsidRPr="007E117D">
        <w:rPr>
          <w:rFonts w:ascii="Verdana" w:eastAsia="Calibri" w:hAnsi="Verdana"/>
          <w:lang w:eastAsia="en-US"/>
        </w:rPr>
        <w:t xml:space="preserve">wanie urządzeń z natury rzeczy nie </w:t>
      </w:r>
      <w:r w:rsidR="002A55AA">
        <w:rPr>
          <w:rFonts w:ascii="Verdana" w:eastAsia="Calibri" w:hAnsi="Verdana"/>
          <w:lang w:eastAsia="en-US"/>
        </w:rPr>
        <w:t>stanowi w pełni</w:t>
      </w:r>
      <w:r w:rsidR="00FD57A1" w:rsidRPr="007E117D">
        <w:rPr>
          <w:rFonts w:ascii="Verdana" w:eastAsia="Calibri" w:hAnsi="Verdana"/>
          <w:lang w:eastAsia="en-US"/>
        </w:rPr>
        <w:t xml:space="preserve"> budowy sieci lecz </w:t>
      </w:r>
      <w:r w:rsidR="002A55AA">
        <w:rPr>
          <w:rFonts w:ascii="Verdana" w:eastAsia="Calibri" w:hAnsi="Verdana"/>
          <w:lang w:eastAsia="en-US"/>
        </w:rPr>
        <w:t xml:space="preserve">jest </w:t>
      </w:r>
      <w:r w:rsidR="00FD57A1" w:rsidRPr="007E117D">
        <w:rPr>
          <w:rFonts w:ascii="Verdana" w:eastAsia="Calibri" w:hAnsi="Verdana"/>
          <w:lang w:eastAsia="en-US"/>
        </w:rPr>
        <w:t>jedynie mont</w:t>
      </w:r>
      <w:r w:rsidR="00FD57A1" w:rsidRPr="007E117D">
        <w:rPr>
          <w:rFonts w:ascii="Verdana" w:eastAsia="Calibri" w:hAnsi="Verdana"/>
          <w:lang w:eastAsia="en-US"/>
        </w:rPr>
        <w:t>a</w:t>
      </w:r>
      <w:r w:rsidR="00FD57A1" w:rsidRPr="007E117D">
        <w:rPr>
          <w:rFonts w:ascii="Verdana" w:eastAsia="Calibri" w:hAnsi="Verdana"/>
          <w:lang w:eastAsia="en-US"/>
        </w:rPr>
        <w:t>ż</w:t>
      </w:r>
      <w:r w:rsidR="002A55AA">
        <w:rPr>
          <w:rFonts w:ascii="Verdana" w:eastAsia="Calibri" w:hAnsi="Verdana"/>
          <w:lang w:eastAsia="en-US"/>
        </w:rPr>
        <w:t>em</w:t>
      </w:r>
      <w:r w:rsidR="00FD57A1" w:rsidRPr="007E117D">
        <w:rPr>
          <w:rFonts w:ascii="Verdana" w:eastAsia="Calibri" w:hAnsi="Verdana"/>
          <w:lang w:eastAsia="en-US"/>
        </w:rPr>
        <w:t xml:space="preserve"> na istniejących masztach lub innych obiektach nadajników odbiorników, przekaźn</w:t>
      </w:r>
      <w:r w:rsidR="00FD57A1" w:rsidRPr="007E117D">
        <w:rPr>
          <w:rFonts w:ascii="Verdana" w:eastAsia="Calibri" w:hAnsi="Verdana"/>
          <w:lang w:eastAsia="en-US"/>
        </w:rPr>
        <w:t>i</w:t>
      </w:r>
      <w:r w:rsidR="00FD57A1" w:rsidRPr="007E117D">
        <w:rPr>
          <w:rFonts w:ascii="Verdana" w:eastAsia="Calibri" w:hAnsi="Verdana"/>
          <w:lang w:eastAsia="en-US"/>
        </w:rPr>
        <w:t>ków itp. urządzeń</w:t>
      </w:r>
      <w:r w:rsidR="002A55AA">
        <w:rPr>
          <w:rFonts w:ascii="Verdana" w:eastAsia="Calibri" w:hAnsi="Verdana"/>
          <w:lang w:eastAsia="en-US"/>
        </w:rPr>
        <w:t xml:space="preserve"> tj</w:t>
      </w:r>
      <w:r w:rsidR="00A34EDF">
        <w:rPr>
          <w:rFonts w:ascii="Verdana" w:eastAsia="Calibri" w:hAnsi="Verdana"/>
          <w:lang w:eastAsia="en-US"/>
        </w:rPr>
        <w:t>.</w:t>
      </w:r>
      <w:r w:rsidR="002A55AA">
        <w:rPr>
          <w:rFonts w:ascii="Verdana" w:eastAsia="Calibri" w:hAnsi="Verdana"/>
          <w:lang w:eastAsia="en-US"/>
        </w:rPr>
        <w:t xml:space="preserve"> składników sieci</w:t>
      </w:r>
      <w:r w:rsidR="00FD57A1" w:rsidRPr="007E117D">
        <w:rPr>
          <w:rFonts w:ascii="Verdana" w:eastAsia="Calibri" w:hAnsi="Verdana"/>
          <w:lang w:eastAsia="en-US"/>
        </w:rPr>
        <w:t>. Instalowanie urządzeń nie mieści się wprost w z</w:t>
      </w:r>
      <w:r w:rsidR="00FD57A1" w:rsidRPr="007E117D">
        <w:rPr>
          <w:rFonts w:ascii="Verdana" w:eastAsia="Calibri" w:hAnsi="Verdana"/>
          <w:lang w:eastAsia="en-US"/>
        </w:rPr>
        <w:t>a</w:t>
      </w:r>
      <w:r w:rsidR="00FD57A1" w:rsidRPr="007E117D">
        <w:rPr>
          <w:rFonts w:ascii="Verdana" w:eastAsia="Calibri" w:hAnsi="Verdana"/>
          <w:lang w:eastAsia="en-US"/>
        </w:rPr>
        <w:t>kresie pojęcia inżynierii lądowej. Szczegółowe badanie jaki rodzaj zamówienia stanowi</w:t>
      </w:r>
      <w:r w:rsidR="002A55AA">
        <w:rPr>
          <w:rFonts w:ascii="Verdana" w:eastAsia="Calibri" w:hAnsi="Verdana"/>
          <w:lang w:eastAsia="en-US"/>
        </w:rPr>
        <w:t>,</w:t>
      </w:r>
      <w:r w:rsidR="00FD57A1" w:rsidRPr="007E117D">
        <w:rPr>
          <w:rFonts w:ascii="Verdana" w:eastAsia="Calibri" w:hAnsi="Verdana"/>
          <w:lang w:eastAsia="en-US"/>
        </w:rPr>
        <w:t xml:space="preserve"> nie ma znaczenia w sprawie, gdyż zgodnie z informacją CPPC będzie to zdecydowanie mnie</w:t>
      </w:r>
      <w:r w:rsidR="00FD57A1" w:rsidRPr="007E117D">
        <w:rPr>
          <w:rFonts w:ascii="Verdana" w:eastAsia="Calibri" w:hAnsi="Verdana"/>
          <w:lang w:eastAsia="en-US"/>
        </w:rPr>
        <w:t>j</w:t>
      </w:r>
      <w:r w:rsidR="00FD57A1" w:rsidRPr="007E117D">
        <w:rPr>
          <w:rFonts w:ascii="Verdana" w:eastAsia="Calibri" w:hAnsi="Verdana"/>
          <w:lang w:eastAsia="en-US"/>
        </w:rPr>
        <w:t xml:space="preserve">szościowa część każdego projektu. Tym samym nawet jego wystąpienie oznacza, że stworzenie sieci obejmie </w:t>
      </w:r>
      <w:r w:rsidRPr="007E117D">
        <w:rPr>
          <w:rFonts w:ascii="Verdana" w:eastAsia="Calibri" w:hAnsi="Verdana"/>
          <w:lang w:eastAsia="en-US"/>
        </w:rPr>
        <w:t>różne rodzaje zamówień i tym samym do przesądzenia sposobu st</w:t>
      </w:r>
      <w:r w:rsidRPr="007E117D">
        <w:rPr>
          <w:rFonts w:ascii="Verdana" w:eastAsia="Calibri" w:hAnsi="Verdana"/>
          <w:lang w:eastAsia="en-US"/>
        </w:rPr>
        <w:t>o</w:t>
      </w:r>
      <w:r w:rsidRPr="007E117D">
        <w:rPr>
          <w:rFonts w:ascii="Verdana" w:eastAsia="Calibri" w:hAnsi="Verdana"/>
          <w:lang w:eastAsia="en-US"/>
        </w:rPr>
        <w:t>sowania ustawy Pzp konieczna jest analiza przepisów kolizyjnych zawartych w art. 5b – 5g tej ustawy.</w:t>
      </w:r>
      <w:r w:rsidRPr="007E117D">
        <w:rPr>
          <w:rFonts w:ascii="Verdana" w:hAnsi="Verdana"/>
        </w:rPr>
        <w:t xml:space="preserve"> W przypadku gdy zamówienie obejmie jednocześnie usługi i dostawy albo jednocześnie roboty budowlane </w:t>
      </w:r>
      <w:r w:rsidR="00FD57A1" w:rsidRPr="007E117D">
        <w:rPr>
          <w:rFonts w:ascii="Verdana" w:hAnsi="Verdana"/>
        </w:rPr>
        <w:t>objęte przepisami ustawy oraz świadczenia tymi przepisami nieobjęte i są one udzielane w jednym postępowaniu st</w:t>
      </w:r>
      <w:r w:rsidR="00FD57A1" w:rsidRPr="007E117D">
        <w:rPr>
          <w:rFonts w:ascii="Verdana" w:hAnsi="Verdana"/>
        </w:rPr>
        <w:t>o</w:t>
      </w:r>
      <w:r w:rsidR="00FD57A1" w:rsidRPr="007E117D">
        <w:rPr>
          <w:rFonts w:ascii="Verdana" w:hAnsi="Verdana"/>
        </w:rPr>
        <w:t>suje się wówczas przepisy ustawy Pzp (art. 5d ust 2 pkt 1 ustawy). Podział na czynności instalowania urz</w:t>
      </w:r>
      <w:r w:rsidR="00FD57A1" w:rsidRPr="007E117D">
        <w:rPr>
          <w:rFonts w:ascii="Verdana" w:hAnsi="Verdana"/>
        </w:rPr>
        <w:t>ą</w:t>
      </w:r>
      <w:r w:rsidR="00FD57A1" w:rsidRPr="007E117D">
        <w:rPr>
          <w:rFonts w:ascii="Verdana" w:hAnsi="Verdana"/>
        </w:rPr>
        <w:t>dzeń (zlecane odrębnie) oraz budowę sieci (odrębnie) mimo iż zgodnie z literalną w</w:t>
      </w:r>
      <w:r w:rsidR="00FD57A1" w:rsidRPr="007E117D">
        <w:rPr>
          <w:rFonts w:ascii="Verdana" w:hAnsi="Verdana"/>
        </w:rPr>
        <w:t>y</w:t>
      </w:r>
      <w:r w:rsidR="00FD57A1" w:rsidRPr="007E117D">
        <w:rPr>
          <w:rFonts w:ascii="Verdana" w:hAnsi="Verdana"/>
        </w:rPr>
        <w:t>kładnią art. 5d ust 1 pkt 1 możliwy, budzi jednak wątpliwości co do celowości i dopus</w:t>
      </w:r>
      <w:r w:rsidR="00FD57A1" w:rsidRPr="007E117D">
        <w:rPr>
          <w:rFonts w:ascii="Verdana" w:hAnsi="Verdana"/>
        </w:rPr>
        <w:t>z</w:t>
      </w:r>
      <w:r w:rsidR="00FD57A1" w:rsidRPr="007E117D">
        <w:rPr>
          <w:rFonts w:ascii="Verdana" w:hAnsi="Verdana"/>
        </w:rPr>
        <w:t>czalności. Są to bowiem czynności składające się na stworzenie jednej sieci</w:t>
      </w:r>
      <w:r w:rsidR="0037198A" w:rsidRPr="007E117D">
        <w:rPr>
          <w:rFonts w:ascii="Verdana" w:hAnsi="Verdana"/>
        </w:rPr>
        <w:t>, co jak wsk</w:t>
      </w:r>
      <w:r w:rsidR="0037198A" w:rsidRPr="007E117D">
        <w:rPr>
          <w:rFonts w:ascii="Verdana" w:hAnsi="Verdana"/>
        </w:rPr>
        <w:t>a</w:t>
      </w:r>
      <w:r w:rsidR="0037198A" w:rsidRPr="007E117D">
        <w:rPr>
          <w:rFonts w:ascii="Verdana" w:hAnsi="Verdana"/>
        </w:rPr>
        <w:t>zuje się niżej jest oceniane w orzecznictwie jako niedozwolone</w:t>
      </w:r>
      <w:r w:rsidR="00FD57A1" w:rsidRPr="007E117D">
        <w:rPr>
          <w:rFonts w:ascii="Verdana" w:hAnsi="Verdana"/>
        </w:rPr>
        <w:t>. Ponadto nie przyczynia</w:t>
      </w:r>
      <w:r w:rsidR="00FD57A1" w:rsidRPr="007E117D">
        <w:rPr>
          <w:rFonts w:ascii="Verdana" w:hAnsi="Verdana"/>
        </w:rPr>
        <w:t>ł</w:t>
      </w:r>
      <w:r w:rsidR="00FD57A1" w:rsidRPr="007E117D">
        <w:rPr>
          <w:rFonts w:ascii="Verdana" w:hAnsi="Verdana"/>
        </w:rPr>
        <w:t>by się do rozwi</w:t>
      </w:r>
      <w:r w:rsidR="00FD57A1" w:rsidRPr="007E117D">
        <w:rPr>
          <w:rFonts w:ascii="Verdana" w:hAnsi="Verdana"/>
        </w:rPr>
        <w:t>ą</w:t>
      </w:r>
      <w:r w:rsidR="00FD57A1" w:rsidRPr="007E117D">
        <w:rPr>
          <w:rFonts w:ascii="Verdana" w:hAnsi="Verdana"/>
        </w:rPr>
        <w:t xml:space="preserve">zania problemu stosowania ustawy Pzp do czynności budowy sieci innych niż montaż urządzeń </w:t>
      </w:r>
      <w:r w:rsidR="0037198A" w:rsidRPr="007E117D">
        <w:rPr>
          <w:rFonts w:ascii="Verdana" w:hAnsi="Verdana"/>
        </w:rPr>
        <w:t>gdyż wartość tych prac i tak przekraczał</w:t>
      </w:r>
      <w:r w:rsidR="00C45317" w:rsidRPr="007E117D">
        <w:rPr>
          <w:rFonts w:ascii="Verdana" w:hAnsi="Verdana"/>
        </w:rPr>
        <w:t>a</w:t>
      </w:r>
      <w:r w:rsidR="0037198A" w:rsidRPr="007E117D">
        <w:rPr>
          <w:rFonts w:ascii="Verdana" w:hAnsi="Verdana"/>
        </w:rPr>
        <w:t xml:space="preserve">by </w:t>
      </w:r>
      <w:r w:rsidR="00C45317" w:rsidRPr="007E117D">
        <w:rPr>
          <w:rFonts w:ascii="Verdana" w:hAnsi="Verdana"/>
        </w:rPr>
        <w:t>kwoty od których p</w:t>
      </w:r>
      <w:r w:rsidR="00C45317" w:rsidRPr="007E117D">
        <w:rPr>
          <w:rFonts w:ascii="Verdana" w:hAnsi="Verdana"/>
        </w:rPr>
        <w:t>o</w:t>
      </w:r>
      <w:r w:rsidR="00C45317" w:rsidRPr="007E117D">
        <w:rPr>
          <w:rFonts w:ascii="Verdana" w:hAnsi="Verdana"/>
        </w:rPr>
        <w:t>wstaje obowiązek stosowania ustawy Pzp przy budowie obiektów inżynierii ląd</w:t>
      </w:r>
      <w:r w:rsidR="00C45317" w:rsidRPr="007E117D">
        <w:rPr>
          <w:rFonts w:ascii="Verdana" w:hAnsi="Verdana"/>
        </w:rPr>
        <w:t>o</w:t>
      </w:r>
      <w:r w:rsidR="00C45317" w:rsidRPr="007E117D">
        <w:rPr>
          <w:rFonts w:ascii="Verdana" w:hAnsi="Verdana"/>
        </w:rPr>
        <w:t xml:space="preserve">wej. </w:t>
      </w:r>
    </w:p>
    <w:p w:rsidR="007E117D" w:rsidRDefault="007E117D" w:rsidP="00FD57A1">
      <w:pPr>
        <w:spacing w:line="360" w:lineRule="auto"/>
        <w:jc w:val="both"/>
        <w:rPr>
          <w:rFonts w:ascii="Verdana" w:hAnsi="Verdana"/>
        </w:rPr>
      </w:pPr>
    </w:p>
    <w:p w:rsidR="00C45317" w:rsidRPr="007E117D" w:rsidRDefault="00C45317" w:rsidP="00FD57A1">
      <w:pPr>
        <w:spacing w:line="360" w:lineRule="auto"/>
        <w:jc w:val="both"/>
        <w:rPr>
          <w:rFonts w:ascii="Verdana" w:hAnsi="Verdana"/>
        </w:rPr>
      </w:pPr>
      <w:r w:rsidRPr="007E117D">
        <w:rPr>
          <w:rFonts w:ascii="Verdana" w:hAnsi="Verdana"/>
        </w:rPr>
        <w:t>Za niezasadne i obarczone jeszcze (znacząco) wyższym ryzykiem należy uznać odrębne potraktowanie zamówienia ze względu na jego cel tj</w:t>
      </w:r>
      <w:r w:rsidR="00A34EDF">
        <w:rPr>
          <w:rFonts w:ascii="Verdana" w:hAnsi="Verdana"/>
        </w:rPr>
        <w:t>.</w:t>
      </w:r>
      <w:r w:rsidRPr="007E117D">
        <w:rPr>
          <w:rFonts w:ascii="Verdana" w:hAnsi="Verdana"/>
        </w:rPr>
        <w:t xml:space="preserve"> jako jedno zamówienie czynności </w:t>
      </w:r>
      <w:r w:rsidR="002A55AA" w:rsidRPr="007E117D">
        <w:rPr>
          <w:rFonts w:ascii="Verdana" w:hAnsi="Verdana"/>
        </w:rPr>
        <w:t>mające</w:t>
      </w:r>
      <w:r w:rsidRPr="007E117D">
        <w:rPr>
          <w:rFonts w:ascii="Verdana" w:hAnsi="Verdana"/>
        </w:rPr>
        <w:t xml:space="preserve"> na celu objęcie siecią gospodarstw domowych zaś jako drugie objęcie siecią szkół. </w:t>
      </w:r>
    </w:p>
    <w:p w:rsidR="00747200" w:rsidRPr="007E117D" w:rsidRDefault="00747200" w:rsidP="00747200">
      <w:pPr>
        <w:jc w:val="both"/>
        <w:rPr>
          <w:b/>
        </w:rPr>
      </w:pPr>
    </w:p>
    <w:p w:rsidR="002A55AA" w:rsidRDefault="00C012AA" w:rsidP="008C68FC">
      <w:pPr>
        <w:autoSpaceDE w:val="0"/>
        <w:autoSpaceDN w:val="0"/>
        <w:adjustRightInd w:val="0"/>
        <w:spacing w:line="360" w:lineRule="auto"/>
        <w:jc w:val="both"/>
        <w:rPr>
          <w:rFonts w:ascii="Verdana" w:hAnsi="Verdana"/>
        </w:rPr>
      </w:pPr>
      <w:r w:rsidRPr="007E117D">
        <w:rPr>
          <w:rFonts w:ascii="Verdana" w:hAnsi="Verdana"/>
        </w:rPr>
        <w:t>Sąd Pierwszej Instancji w sprawie Komisja Europejska przeciw Królestwu Hiszpanii (w</w:t>
      </w:r>
      <w:r w:rsidRPr="007E117D">
        <w:rPr>
          <w:rFonts w:ascii="Verdana" w:hAnsi="Verdana"/>
        </w:rPr>
        <w:t>y</w:t>
      </w:r>
      <w:r w:rsidRPr="007E117D">
        <w:rPr>
          <w:rFonts w:ascii="Verdana" w:hAnsi="Verdana"/>
        </w:rPr>
        <w:t>rok w sprawie T -384/10 z 29 maja 2013 r. orzekł bowiem, że (motyw 67 uz</w:t>
      </w:r>
      <w:r w:rsidRPr="007E117D">
        <w:rPr>
          <w:rFonts w:ascii="Verdana" w:hAnsi="Verdana"/>
        </w:rPr>
        <w:t>a</w:t>
      </w:r>
      <w:r w:rsidRPr="007E117D">
        <w:rPr>
          <w:rFonts w:ascii="Verdana" w:hAnsi="Verdana"/>
        </w:rPr>
        <w:t xml:space="preserve">sadnienia) aby wynik odrębnych robót był uznany za </w:t>
      </w:r>
      <w:r w:rsidR="008C68FC" w:rsidRPr="007E117D">
        <w:rPr>
          <w:rFonts w:ascii="Verdana" w:hAnsi="Verdana"/>
        </w:rPr>
        <w:t xml:space="preserve">odrębny </w:t>
      </w:r>
      <w:r w:rsidRPr="007E117D">
        <w:rPr>
          <w:rFonts w:ascii="Verdana" w:hAnsi="Verdana"/>
        </w:rPr>
        <w:t>obiekt budowlany w rozumieniu d</w:t>
      </w:r>
      <w:r w:rsidRPr="007E117D">
        <w:rPr>
          <w:rFonts w:ascii="Verdana" w:hAnsi="Verdana"/>
        </w:rPr>
        <w:t>y</w:t>
      </w:r>
      <w:r w:rsidRPr="007E117D">
        <w:rPr>
          <w:rFonts w:ascii="Verdana" w:hAnsi="Verdana"/>
        </w:rPr>
        <w:t>rektywy (a więc także w roz</w:t>
      </w:r>
      <w:r w:rsidRPr="007E117D">
        <w:rPr>
          <w:rFonts w:ascii="Verdana" w:hAnsi="Verdana"/>
        </w:rPr>
        <w:t>u</w:t>
      </w:r>
      <w:r w:rsidRPr="007E117D">
        <w:rPr>
          <w:rFonts w:ascii="Verdana" w:hAnsi="Verdana"/>
        </w:rPr>
        <w:t>mieniu prawa polskiego) wystarczy, by roboty te pełniły albo tę samą rolę gospodarczą, albo tę samą rolę techniczną. Stwierdzenie tożsamości gospodarczej i tożsamości technicznej ma więc charakter alternatywny, a nie</w:t>
      </w:r>
      <w:r w:rsidR="000E6786">
        <w:rPr>
          <w:rFonts w:ascii="Verdana" w:hAnsi="Verdana"/>
        </w:rPr>
        <w:t xml:space="preserve"> </w:t>
      </w:r>
      <w:r w:rsidRPr="007E117D">
        <w:rPr>
          <w:rFonts w:ascii="Verdana" w:hAnsi="Verdana"/>
        </w:rPr>
        <w:t>kumul</w:t>
      </w:r>
      <w:r w:rsidRPr="007E117D">
        <w:rPr>
          <w:rFonts w:ascii="Verdana" w:hAnsi="Verdana"/>
        </w:rPr>
        <w:t>a</w:t>
      </w:r>
      <w:r w:rsidRPr="007E117D">
        <w:rPr>
          <w:rFonts w:ascii="Verdana" w:hAnsi="Verdana"/>
        </w:rPr>
        <w:t>tywny. W ocenie Sądu realizowane w ramach jednego zamierzenia</w:t>
      </w:r>
      <w:r w:rsidR="008C68FC" w:rsidRPr="007E117D">
        <w:rPr>
          <w:rFonts w:ascii="Verdana" w:hAnsi="Verdana"/>
        </w:rPr>
        <w:t xml:space="preserve"> (objęte jednym pr</w:t>
      </w:r>
      <w:r w:rsidR="008C68FC" w:rsidRPr="007E117D">
        <w:rPr>
          <w:rFonts w:ascii="Verdana" w:hAnsi="Verdana"/>
        </w:rPr>
        <w:t>o</w:t>
      </w:r>
      <w:r w:rsidR="008C68FC" w:rsidRPr="007E117D">
        <w:rPr>
          <w:rFonts w:ascii="Verdana" w:hAnsi="Verdana"/>
        </w:rPr>
        <w:t>jektem i umową o dofinansowanie ze wspólnym uzasadnieniem rezultatu)</w:t>
      </w:r>
      <w:r w:rsidRPr="007E117D">
        <w:rPr>
          <w:rFonts w:ascii="Verdana" w:hAnsi="Verdana"/>
        </w:rPr>
        <w:t xml:space="preserve"> roboty budo</w:t>
      </w:r>
      <w:r w:rsidRPr="007E117D">
        <w:rPr>
          <w:rFonts w:ascii="Verdana" w:hAnsi="Verdana"/>
        </w:rPr>
        <w:t>w</w:t>
      </w:r>
      <w:r w:rsidRPr="007E117D">
        <w:rPr>
          <w:rFonts w:ascii="Verdana" w:hAnsi="Verdana"/>
        </w:rPr>
        <w:t>lane dotyczące sieci, stanowią jeden obiekt budowlany i ich wartość winna być traktow</w:t>
      </w:r>
      <w:r w:rsidRPr="007E117D">
        <w:rPr>
          <w:rFonts w:ascii="Verdana" w:hAnsi="Verdana"/>
        </w:rPr>
        <w:t>a</w:t>
      </w:r>
      <w:r w:rsidRPr="007E117D">
        <w:rPr>
          <w:rFonts w:ascii="Verdana" w:hAnsi="Verdana"/>
        </w:rPr>
        <w:t>na łącznie nawet gdy mogą funkcjonować niezależnie. Sąd poddaje przy tym ocenie czy r</w:t>
      </w:r>
      <w:r w:rsidRPr="007E117D">
        <w:rPr>
          <w:rFonts w:ascii="Verdana" w:hAnsi="Verdana"/>
        </w:rPr>
        <w:t>o</w:t>
      </w:r>
      <w:r w:rsidRPr="007E117D">
        <w:rPr>
          <w:rFonts w:ascii="Verdana" w:hAnsi="Verdana"/>
        </w:rPr>
        <w:t>boty toczą się na tym samym obszarze geograficznym, rozumiejąc przez to sieć nie jako abstrakcyjną ogólnokrajową całość lecz jako sieć służącą do zaspokajania potrzeb okr</w:t>
      </w:r>
      <w:r w:rsidRPr="007E117D">
        <w:rPr>
          <w:rFonts w:ascii="Verdana" w:hAnsi="Verdana"/>
        </w:rPr>
        <w:t>e</w:t>
      </w:r>
      <w:r w:rsidRPr="007E117D">
        <w:rPr>
          <w:rFonts w:ascii="Verdana" w:hAnsi="Verdana"/>
        </w:rPr>
        <w:t>ślonej grupy która właśnie z tej terytorialnej części sieci korzysta. W przykładach przytaczanych przez Sąd są to jednak obszary obejmujące znaczące terytoria, nieogran</w:t>
      </w:r>
      <w:r w:rsidRPr="007E117D">
        <w:rPr>
          <w:rFonts w:ascii="Verdana" w:hAnsi="Verdana"/>
        </w:rPr>
        <w:t>i</w:t>
      </w:r>
      <w:r w:rsidRPr="007E117D">
        <w:rPr>
          <w:rFonts w:ascii="Verdana" w:hAnsi="Verdana"/>
        </w:rPr>
        <w:t>czane granicami jednostek administracyjnych, lecz definiowane tak by zweryfikować, czy wł</w:t>
      </w:r>
      <w:r w:rsidRPr="007E117D">
        <w:rPr>
          <w:rFonts w:ascii="Verdana" w:hAnsi="Verdana"/>
        </w:rPr>
        <w:t>a</w:t>
      </w:r>
      <w:r w:rsidRPr="007E117D">
        <w:rPr>
          <w:rFonts w:ascii="Verdana" w:hAnsi="Verdana"/>
        </w:rPr>
        <w:t xml:space="preserve">śnie taki obszar jest właściwy dla zaspokojenia potrzeby, której służą wykonywane roboty. </w:t>
      </w:r>
    </w:p>
    <w:p w:rsidR="008C68FC" w:rsidRPr="007E117D" w:rsidRDefault="008C68FC" w:rsidP="008C68FC">
      <w:pPr>
        <w:autoSpaceDE w:val="0"/>
        <w:autoSpaceDN w:val="0"/>
        <w:adjustRightInd w:val="0"/>
        <w:spacing w:line="360" w:lineRule="auto"/>
        <w:jc w:val="both"/>
        <w:rPr>
          <w:rFonts w:ascii="Verdana" w:hAnsi="Verdana" w:cs="Arial"/>
          <w:b/>
        </w:rPr>
      </w:pPr>
      <w:r w:rsidRPr="007E117D">
        <w:rPr>
          <w:rFonts w:ascii="Verdana" w:hAnsi="Verdana" w:cs="Arial"/>
        </w:rPr>
        <w:t>Jeszcze dalej posunięty rygoryzm w odniesieniu do zakazu dzielenia z</w:t>
      </w:r>
      <w:r w:rsidRPr="007E117D">
        <w:rPr>
          <w:rFonts w:ascii="Verdana" w:hAnsi="Verdana" w:cs="Arial"/>
        </w:rPr>
        <w:t>a</w:t>
      </w:r>
      <w:r w:rsidRPr="007E117D">
        <w:rPr>
          <w:rFonts w:ascii="Verdana" w:hAnsi="Verdana" w:cs="Arial"/>
        </w:rPr>
        <w:t xml:space="preserve">mówień prezentuje opinia UZP </w:t>
      </w:r>
      <w:r w:rsidRPr="002A55AA">
        <w:rPr>
          <w:rFonts w:ascii="Verdana" w:hAnsi="Verdana" w:cs="Arial"/>
          <w:i/>
        </w:rPr>
        <w:t>Zamówienia publiczne na roboty budowlane realizow</w:t>
      </w:r>
      <w:r w:rsidRPr="002A55AA">
        <w:rPr>
          <w:rFonts w:ascii="Verdana" w:hAnsi="Verdana" w:cs="Arial"/>
          <w:i/>
        </w:rPr>
        <w:t>a</w:t>
      </w:r>
      <w:r w:rsidRPr="002A55AA">
        <w:rPr>
          <w:rFonts w:ascii="Verdana" w:hAnsi="Verdana" w:cs="Arial"/>
          <w:i/>
        </w:rPr>
        <w:t>ne w ramach jednego projektu infrastrukturalnego a zakaz dzielenia zamówienia na cz</w:t>
      </w:r>
      <w:r w:rsidRPr="002A55AA">
        <w:rPr>
          <w:rFonts w:ascii="Verdana" w:hAnsi="Verdana" w:cs="Arial"/>
          <w:i/>
        </w:rPr>
        <w:t>ę</w:t>
      </w:r>
      <w:r w:rsidRPr="002A55AA">
        <w:rPr>
          <w:rFonts w:ascii="Verdana" w:hAnsi="Verdana" w:cs="Arial"/>
          <w:i/>
        </w:rPr>
        <w:t>ści w prawie krajowym i unijnym</w:t>
      </w:r>
      <w:r w:rsidRPr="007E117D">
        <w:rPr>
          <w:rFonts w:ascii="Verdana" w:hAnsi="Verdana" w:cs="Arial"/>
        </w:rPr>
        <w:t xml:space="preserve"> (</w:t>
      </w:r>
      <w:hyperlink r:id="rId11" w:history="1">
        <w:r w:rsidRPr="007E117D">
          <w:rPr>
            <w:rStyle w:val="Hipercze"/>
            <w:rFonts w:ascii="Verdana" w:hAnsi="Verdana" w:cs="Arial"/>
            <w:color w:val="auto"/>
          </w:rPr>
          <w:t>www.uzp.gov.pl</w:t>
        </w:r>
      </w:hyperlink>
      <w:r w:rsidRPr="007E117D">
        <w:rPr>
          <w:rFonts w:ascii="Verdana" w:hAnsi="Verdana" w:cs="Arial"/>
        </w:rPr>
        <w:t>). Urząd przytacza w niej pogląd TSUE wyrażony w wyroku z dnia 5 października 2000r. w sprawie Komisja Wspólnot Europejskich przeciwko Republ</w:t>
      </w:r>
      <w:r w:rsidRPr="007E117D">
        <w:rPr>
          <w:rFonts w:ascii="Verdana" w:hAnsi="Verdana" w:cs="Arial"/>
        </w:rPr>
        <w:t>i</w:t>
      </w:r>
      <w:r w:rsidRPr="007E117D">
        <w:rPr>
          <w:rFonts w:ascii="Verdana" w:hAnsi="Verdana" w:cs="Arial"/>
        </w:rPr>
        <w:t xml:space="preserve">ce Francuskiej (C-16/98). </w:t>
      </w:r>
      <w:r w:rsidRPr="007E117D">
        <w:rPr>
          <w:rFonts w:ascii="Verdana" w:hAnsi="Verdana" w:cs="Arial"/>
          <w:i/>
        </w:rPr>
        <w:t>Zdaniem Europejskiego Trybunału Sprawiedliwości z</w:t>
      </w:r>
      <w:r w:rsidRPr="007E117D">
        <w:rPr>
          <w:rFonts w:ascii="Verdana" w:hAnsi="Verdana" w:cs="Arial"/>
          <w:i/>
        </w:rPr>
        <w:t>a</w:t>
      </w:r>
      <w:r w:rsidRPr="007E117D">
        <w:rPr>
          <w:rFonts w:ascii="Verdana" w:hAnsi="Verdana" w:cs="Arial"/>
          <w:i/>
        </w:rPr>
        <w:t>sadnicze znaczenie dla odpowiedzi, czy mamy do czynienia z zamówieniem na jeden obiekt b</w:t>
      </w:r>
      <w:r w:rsidRPr="007E117D">
        <w:rPr>
          <w:rFonts w:ascii="Verdana" w:hAnsi="Verdana" w:cs="Arial"/>
          <w:i/>
        </w:rPr>
        <w:t>u</w:t>
      </w:r>
      <w:r w:rsidRPr="007E117D">
        <w:rPr>
          <w:rFonts w:ascii="Verdana" w:hAnsi="Verdana" w:cs="Arial"/>
          <w:i/>
        </w:rPr>
        <w:t>dowlany należy przypisać okoliczności, czy wynik całości robót budowlanych lub inżyni</w:t>
      </w:r>
      <w:r w:rsidRPr="007E117D">
        <w:rPr>
          <w:rFonts w:ascii="Verdana" w:hAnsi="Verdana" w:cs="Arial"/>
          <w:i/>
        </w:rPr>
        <w:t>e</w:t>
      </w:r>
      <w:r w:rsidRPr="007E117D">
        <w:rPr>
          <w:rFonts w:ascii="Verdana" w:hAnsi="Verdana" w:cs="Arial"/>
          <w:i/>
        </w:rPr>
        <w:t>ryjnych może samoistnie spełniać funkcję gospodarczą lub techniczną. Wynika z tego, iż ocena czy  w konkretnym przypadku mamy do czynienia z jednym obiektem b</w:t>
      </w:r>
      <w:r w:rsidRPr="007E117D">
        <w:rPr>
          <w:rFonts w:ascii="Verdana" w:hAnsi="Verdana" w:cs="Arial"/>
          <w:i/>
        </w:rPr>
        <w:t>u</w:t>
      </w:r>
      <w:r w:rsidRPr="007E117D">
        <w:rPr>
          <w:rFonts w:ascii="Verdana" w:hAnsi="Verdana" w:cs="Arial"/>
          <w:i/>
        </w:rPr>
        <w:t>dowlanym powinna być dokonana w świetle gospodarczych i technicznych funkcji, które będzie spe</w:t>
      </w:r>
      <w:r w:rsidRPr="007E117D">
        <w:rPr>
          <w:rFonts w:ascii="Verdana" w:hAnsi="Verdana" w:cs="Arial"/>
          <w:i/>
        </w:rPr>
        <w:t>ł</w:t>
      </w:r>
      <w:r w:rsidRPr="007E117D">
        <w:rPr>
          <w:rFonts w:ascii="Verdana" w:hAnsi="Verdana" w:cs="Arial"/>
          <w:i/>
        </w:rPr>
        <w:t>niał. Stwierdzenie takiej okoliczności powoduje, iż całość robót budowlanych udzielanych w kilku postępowaniach należy brać pod uwagę w kontekście ustalenia obowiązku stos</w:t>
      </w:r>
      <w:r w:rsidRPr="007E117D">
        <w:rPr>
          <w:rFonts w:ascii="Verdana" w:hAnsi="Verdana" w:cs="Arial"/>
          <w:i/>
        </w:rPr>
        <w:t>o</w:t>
      </w:r>
      <w:r w:rsidRPr="007E117D">
        <w:rPr>
          <w:rFonts w:ascii="Verdana" w:hAnsi="Verdana" w:cs="Arial"/>
          <w:i/>
        </w:rPr>
        <w:t>wania przepisów dyrektywy. Europejski Trybunał Sprawiedliwości wskazał w omawi</w:t>
      </w:r>
      <w:r w:rsidRPr="007E117D">
        <w:rPr>
          <w:rFonts w:ascii="Verdana" w:hAnsi="Verdana" w:cs="Arial"/>
          <w:i/>
        </w:rPr>
        <w:t>a</w:t>
      </w:r>
      <w:r w:rsidRPr="007E117D">
        <w:rPr>
          <w:rFonts w:ascii="Verdana" w:hAnsi="Verdana" w:cs="Arial"/>
          <w:i/>
        </w:rPr>
        <w:t>nym  wyroku, iż istnienie jednego podmiotu zamawiającego i możliwość przeprowadz</w:t>
      </w:r>
      <w:r w:rsidRPr="007E117D">
        <w:rPr>
          <w:rFonts w:ascii="Verdana" w:hAnsi="Verdana" w:cs="Arial"/>
          <w:i/>
        </w:rPr>
        <w:t>e</w:t>
      </w:r>
      <w:r w:rsidRPr="007E117D">
        <w:rPr>
          <w:rFonts w:ascii="Verdana" w:hAnsi="Verdana" w:cs="Arial"/>
          <w:i/>
        </w:rPr>
        <w:t>nia  przez przedsiębiorstwo wspólnotowe całości robót opisanych w odnośnych zamówi</w:t>
      </w:r>
      <w:r w:rsidRPr="007E117D">
        <w:rPr>
          <w:rFonts w:ascii="Verdana" w:hAnsi="Verdana" w:cs="Arial"/>
          <w:i/>
        </w:rPr>
        <w:t>e</w:t>
      </w:r>
      <w:r w:rsidRPr="007E117D">
        <w:rPr>
          <w:rFonts w:ascii="Verdana" w:hAnsi="Verdana" w:cs="Arial"/>
          <w:i/>
        </w:rPr>
        <w:t>niach może stanowić dowód potwierdzający istnienie obiektu budowlanego w r</w:t>
      </w:r>
      <w:r w:rsidRPr="007E117D">
        <w:rPr>
          <w:rFonts w:ascii="Verdana" w:hAnsi="Verdana" w:cs="Arial"/>
          <w:i/>
        </w:rPr>
        <w:t>o</w:t>
      </w:r>
      <w:r w:rsidRPr="007E117D">
        <w:rPr>
          <w:rFonts w:ascii="Verdana" w:hAnsi="Verdana" w:cs="Arial"/>
          <w:i/>
        </w:rPr>
        <w:t>zumieniu dyrektywy, nie może jednak st</w:t>
      </w:r>
      <w:r w:rsidRPr="007E117D">
        <w:rPr>
          <w:rFonts w:ascii="Verdana" w:hAnsi="Verdana" w:cs="Arial"/>
          <w:i/>
        </w:rPr>
        <w:t>a</w:t>
      </w:r>
      <w:r w:rsidRPr="007E117D">
        <w:rPr>
          <w:rFonts w:ascii="Verdana" w:hAnsi="Verdana" w:cs="Arial"/>
          <w:i/>
        </w:rPr>
        <w:t>nowić w tym względzie kryterium decyzyjnego. Albowiem termin „obiekt budowlany”, który zawiera dyrektywa nie uzależnia istnienia obiektu b</w:t>
      </w:r>
      <w:r w:rsidRPr="007E117D">
        <w:rPr>
          <w:rFonts w:ascii="Verdana" w:hAnsi="Verdana" w:cs="Arial"/>
          <w:i/>
        </w:rPr>
        <w:t>u</w:t>
      </w:r>
      <w:r w:rsidRPr="007E117D">
        <w:rPr>
          <w:rFonts w:ascii="Verdana" w:hAnsi="Verdana" w:cs="Arial"/>
          <w:i/>
        </w:rPr>
        <w:t>dowlanego od takich elementów jak liczba podmiotów zamawiających, ani też czy całość robót może zostać przeprowadzona przez jedno przedsiębiorstwo. Decydującym dla kw</w:t>
      </w:r>
      <w:r w:rsidRPr="007E117D">
        <w:rPr>
          <w:rFonts w:ascii="Verdana" w:hAnsi="Verdana" w:cs="Arial"/>
          <w:i/>
        </w:rPr>
        <w:t>a</w:t>
      </w:r>
      <w:r w:rsidRPr="007E117D">
        <w:rPr>
          <w:rFonts w:ascii="Verdana" w:hAnsi="Verdana" w:cs="Arial"/>
          <w:i/>
        </w:rPr>
        <w:t>lifikacji czy seria określonych robót stanowi realizację jednego obiektu b</w:t>
      </w:r>
      <w:r w:rsidRPr="007E117D">
        <w:rPr>
          <w:rFonts w:ascii="Verdana" w:hAnsi="Verdana" w:cs="Arial"/>
          <w:i/>
        </w:rPr>
        <w:t>u</w:t>
      </w:r>
      <w:r w:rsidRPr="007E117D">
        <w:rPr>
          <w:rFonts w:ascii="Verdana" w:hAnsi="Verdana" w:cs="Arial"/>
          <w:i/>
        </w:rPr>
        <w:t>dowlanego w rozumieniu dyrektywy są więc kryteria gospodarczych i technic</w:t>
      </w:r>
      <w:r w:rsidRPr="007E117D">
        <w:rPr>
          <w:rFonts w:ascii="Verdana" w:hAnsi="Verdana" w:cs="Arial"/>
          <w:i/>
        </w:rPr>
        <w:t>z</w:t>
      </w:r>
      <w:r w:rsidRPr="007E117D">
        <w:rPr>
          <w:rFonts w:ascii="Verdana" w:hAnsi="Verdana" w:cs="Arial"/>
          <w:i/>
        </w:rPr>
        <w:t>nych funkcji spełnianych przez wynik tych robót. Trybunał zauważył również, iż jest zrozumiałe, że z powodów administracyjnych lub innych, program robót b</w:t>
      </w:r>
      <w:r w:rsidRPr="007E117D">
        <w:rPr>
          <w:rFonts w:ascii="Verdana" w:hAnsi="Verdana" w:cs="Arial"/>
          <w:i/>
        </w:rPr>
        <w:t>u</w:t>
      </w:r>
      <w:r w:rsidRPr="007E117D">
        <w:rPr>
          <w:rFonts w:ascii="Verdana" w:hAnsi="Verdana" w:cs="Arial"/>
          <w:i/>
        </w:rPr>
        <w:t>dowlanych zmierzających do wykonania obiektu budowlanego w rozumieniu d</w:t>
      </w:r>
      <w:r w:rsidRPr="007E117D">
        <w:rPr>
          <w:rFonts w:ascii="Verdana" w:hAnsi="Verdana" w:cs="Arial"/>
          <w:i/>
        </w:rPr>
        <w:t>y</w:t>
      </w:r>
      <w:r w:rsidRPr="007E117D">
        <w:rPr>
          <w:rFonts w:ascii="Verdana" w:hAnsi="Verdana" w:cs="Arial"/>
          <w:i/>
        </w:rPr>
        <w:t xml:space="preserve">rektywy może być przedmiotem kilku procedur, których inicjatywa pochodzi od różnych zamawiających. </w:t>
      </w:r>
      <w:r w:rsidRPr="007E117D">
        <w:rPr>
          <w:rFonts w:ascii="Verdana" w:hAnsi="Verdana" w:cs="Arial"/>
          <w:b/>
          <w:i/>
        </w:rPr>
        <w:t>Może tak być na przykład w przypadku budowy drogi przechodzącej przez terytorium kilku władztw loka</w:t>
      </w:r>
      <w:r w:rsidRPr="007E117D">
        <w:rPr>
          <w:rFonts w:ascii="Verdana" w:hAnsi="Verdana" w:cs="Arial"/>
          <w:b/>
          <w:i/>
        </w:rPr>
        <w:t>l</w:t>
      </w:r>
      <w:r w:rsidRPr="007E117D">
        <w:rPr>
          <w:rFonts w:ascii="Verdana" w:hAnsi="Verdana" w:cs="Arial"/>
          <w:b/>
          <w:i/>
        </w:rPr>
        <w:t>nych, z których każdy odpowiada administracyjnie za jej odcinek. Przeprow</w:t>
      </w:r>
      <w:r w:rsidRPr="007E117D">
        <w:rPr>
          <w:rFonts w:ascii="Verdana" w:hAnsi="Verdana" w:cs="Arial"/>
          <w:b/>
          <w:i/>
        </w:rPr>
        <w:t>a</w:t>
      </w:r>
      <w:r w:rsidRPr="007E117D">
        <w:rPr>
          <w:rFonts w:ascii="Verdana" w:hAnsi="Verdana" w:cs="Arial"/>
          <w:b/>
          <w:i/>
        </w:rPr>
        <w:t>dzenie kilku procedur nie oznacza jednak możliwości odrębnego sz</w:t>
      </w:r>
      <w:r w:rsidRPr="007E117D">
        <w:rPr>
          <w:rFonts w:ascii="Verdana" w:hAnsi="Verdana" w:cs="Arial"/>
          <w:b/>
          <w:i/>
        </w:rPr>
        <w:t>a</w:t>
      </w:r>
      <w:r w:rsidRPr="007E117D">
        <w:rPr>
          <w:rFonts w:ascii="Verdana" w:hAnsi="Verdana" w:cs="Arial"/>
          <w:b/>
          <w:i/>
        </w:rPr>
        <w:t>cowania wartości przedmiotu tych procedur. Zdaniem Europejskiego Trybunału Sprawi</w:t>
      </w:r>
      <w:r w:rsidRPr="007E117D">
        <w:rPr>
          <w:rFonts w:ascii="Verdana" w:hAnsi="Verdana" w:cs="Arial"/>
          <w:b/>
          <w:i/>
        </w:rPr>
        <w:t>e</w:t>
      </w:r>
      <w:r w:rsidRPr="007E117D">
        <w:rPr>
          <w:rFonts w:ascii="Verdana" w:hAnsi="Verdana" w:cs="Arial"/>
          <w:b/>
          <w:i/>
        </w:rPr>
        <w:t>dliwości cel dyrektywy nie zostałby osiągnięty, jeżeli zakres stosowania dyre</w:t>
      </w:r>
      <w:r w:rsidRPr="007E117D">
        <w:rPr>
          <w:rFonts w:ascii="Verdana" w:hAnsi="Verdana" w:cs="Arial"/>
          <w:b/>
          <w:i/>
        </w:rPr>
        <w:t>k</w:t>
      </w:r>
      <w:r w:rsidRPr="007E117D">
        <w:rPr>
          <w:rFonts w:ascii="Verdana" w:hAnsi="Verdana" w:cs="Arial"/>
          <w:b/>
          <w:i/>
        </w:rPr>
        <w:t>tywy byłby wyłączony z tego powodu, że szacowana  wartość każdego o</w:t>
      </w:r>
      <w:r w:rsidRPr="007E117D">
        <w:rPr>
          <w:rFonts w:ascii="Verdana" w:hAnsi="Verdana" w:cs="Arial"/>
          <w:b/>
          <w:i/>
        </w:rPr>
        <w:t>d</w:t>
      </w:r>
      <w:r w:rsidRPr="007E117D">
        <w:rPr>
          <w:rFonts w:ascii="Verdana" w:hAnsi="Verdana" w:cs="Arial"/>
          <w:b/>
          <w:i/>
        </w:rPr>
        <w:t>cinka obiektu budowlanego byłaby niższa od progu zastosowania d</w:t>
      </w:r>
      <w:r w:rsidRPr="007E117D">
        <w:rPr>
          <w:rFonts w:ascii="Verdana" w:hAnsi="Verdana" w:cs="Arial"/>
          <w:b/>
          <w:i/>
        </w:rPr>
        <w:t>y</w:t>
      </w:r>
      <w:r w:rsidRPr="007E117D">
        <w:rPr>
          <w:rFonts w:ascii="Verdana" w:hAnsi="Verdana" w:cs="Arial"/>
          <w:b/>
          <w:i/>
        </w:rPr>
        <w:t>rektywy.</w:t>
      </w:r>
    </w:p>
    <w:p w:rsidR="002A55AA" w:rsidRDefault="002A55AA" w:rsidP="00B67ED0">
      <w:pPr>
        <w:spacing w:line="360" w:lineRule="auto"/>
        <w:jc w:val="both"/>
        <w:rPr>
          <w:rFonts w:ascii="Verdana" w:hAnsi="Verdana"/>
        </w:rPr>
      </w:pPr>
    </w:p>
    <w:p w:rsidR="00B67ED0" w:rsidRPr="007E117D" w:rsidRDefault="00B67ED0" w:rsidP="00B67ED0">
      <w:pPr>
        <w:spacing w:line="360" w:lineRule="auto"/>
        <w:jc w:val="both"/>
        <w:rPr>
          <w:rFonts w:ascii="Verdana" w:hAnsi="Verdana"/>
          <w:bCs/>
        </w:rPr>
      </w:pPr>
      <w:r w:rsidRPr="007E117D">
        <w:rPr>
          <w:rFonts w:ascii="Verdana" w:hAnsi="Verdana"/>
        </w:rPr>
        <w:t>W kontekście tego poglądu już odrębne ustalanie wartości zamówienia dla poszczegó</w:t>
      </w:r>
      <w:r w:rsidRPr="007E117D">
        <w:rPr>
          <w:rFonts w:ascii="Verdana" w:hAnsi="Verdana"/>
        </w:rPr>
        <w:t>l</w:t>
      </w:r>
      <w:r w:rsidRPr="007E117D">
        <w:rPr>
          <w:rFonts w:ascii="Verdana" w:hAnsi="Verdana"/>
        </w:rPr>
        <w:t>nych obszarów</w:t>
      </w:r>
      <w:r w:rsidR="002A55AA">
        <w:rPr>
          <w:rFonts w:ascii="Verdana" w:hAnsi="Verdana"/>
        </w:rPr>
        <w:t>,</w:t>
      </w:r>
      <w:r w:rsidRPr="007E117D">
        <w:rPr>
          <w:rFonts w:ascii="Verdana" w:hAnsi="Verdana"/>
        </w:rPr>
        <w:t xml:space="preserve"> na których realizowane są projekty z działania 1.1 mogłoby budzić obawy czy nie dochodzi do podziału zamówienia na części</w:t>
      </w:r>
      <w:r w:rsidR="002A55AA">
        <w:rPr>
          <w:rFonts w:ascii="Verdana" w:hAnsi="Verdana"/>
        </w:rPr>
        <w:t>,</w:t>
      </w:r>
      <w:r w:rsidRPr="007E117D">
        <w:rPr>
          <w:rFonts w:ascii="Verdana" w:hAnsi="Verdana"/>
        </w:rPr>
        <w:t xml:space="preserve"> gdyż działanie 1.1 jest działaniem z programu krajowego i jego cel ma wymiar ogólnokrajowy. Rozważania w tej sprawie nie są przedmiotem opinii i nie są istotne dla sprawy, gdyż nawet odrębne traktowanie wa</w:t>
      </w:r>
      <w:r w:rsidRPr="007E117D">
        <w:rPr>
          <w:rFonts w:ascii="Verdana" w:hAnsi="Verdana"/>
        </w:rPr>
        <w:t>r</w:t>
      </w:r>
      <w:r w:rsidRPr="007E117D">
        <w:rPr>
          <w:rFonts w:ascii="Verdana" w:hAnsi="Verdana"/>
        </w:rPr>
        <w:t>tości zamówienia w poszczególnych obszarach geograficznych nie powoduje</w:t>
      </w:r>
      <w:r w:rsidR="002A55AA">
        <w:rPr>
          <w:rFonts w:ascii="Verdana" w:hAnsi="Verdana"/>
        </w:rPr>
        <w:t>,</w:t>
      </w:r>
      <w:r w:rsidRPr="007E117D">
        <w:rPr>
          <w:rFonts w:ascii="Verdana" w:hAnsi="Verdana"/>
        </w:rPr>
        <w:t xml:space="preserve"> iż wartość ust</w:t>
      </w:r>
      <w:r w:rsidRPr="007E117D">
        <w:rPr>
          <w:rFonts w:ascii="Verdana" w:hAnsi="Verdana"/>
        </w:rPr>
        <w:t>a</w:t>
      </w:r>
      <w:r w:rsidRPr="007E117D">
        <w:rPr>
          <w:rFonts w:ascii="Verdana" w:hAnsi="Verdana"/>
        </w:rPr>
        <w:t xml:space="preserve">lona dla dowolnego z nich jest niższa jak 5 225 000 euro, a więc podział zamówienia nie doprowadza do uniknięcia stosowania przepisów i tym samym jest dopuszczalny. </w:t>
      </w:r>
      <w:r w:rsidRPr="007E117D">
        <w:rPr>
          <w:rFonts w:ascii="Verdana" w:hAnsi="Verdana"/>
          <w:bCs/>
        </w:rPr>
        <w:t xml:space="preserve">Jednakże rygoryzm poglądów przedstawianych wyżej wskazuje, że </w:t>
      </w:r>
      <w:r w:rsidR="00C012AA" w:rsidRPr="007E117D">
        <w:rPr>
          <w:rFonts w:ascii="Verdana" w:hAnsi="Verdana"/>
          <w:bCs/>
        </w:rPr>
        <w:t xml:space="preserve"> rozważanie możliw</w:t>
      </w:r>
      <w:r w:rsidR="00C012AA" w:rsidRPr="007E117D">
        <w:rPr>
          <w:rFonts w:ascii="Verdana" w:hAnsi="Verdana"/>
          <w:bCs/>
        </w:rPr>
        <w:t>o</w:t>
      </w:r>
      <w:r w:rsidR="00C012AA" w:rsidRPr="007E117D">
        <w:rPr>
          <w:rFonts w:ascii="Verdana" w:hAnsi="Verdana"/>
          <w:bCs/>
        </w:rPr>
        <w:t>ści silniejszej at</w:t>
      </w:r>
      <w:r w:rsidR="00C012AA" w:rsidRPr="007E117D">
        <w:rPr>
          <w:rFonts w:ascii="Verdana" w:hAnsi="Verdana"/>
          <w:bCs/>
        </w:rPr>
        <w:t>o</w:t>
      </w:r>
      <w:r w:rsidR="00C012AA" w:rsidRPr="007E117D">
        <w:rPr>
          <w:rFonts w:ascii="Verdana" w:hAnsi="Verdana"/>
          <w:bCs/>
        </w:rPr>
        <w:t xml:space="preserve">mizacji zamówień </w:t>
      </w:r>
      <w:r w:rsidRPr="007E117D">
        <w:rPr>
          <w:rFonts w:ascii="Verdana" w:hAnsi="Verdana"/>
          <w:bCs/>
        </w:rPr>
        <w:t xml:space="preserve">jest niecelowe. </w:t>
      </w:r>
    </w:p>
    <w:p w:rsidR="00B67ED0" w:rsidRPr="007E117D" w:rsidRDefault="00B67ED0" w:rsidP="00C012AA">
      <w:pPr>
        <w:autoSpaceDE w:val="0"/>
        <w:autoSpaceDN w:val="0"/>
        <w:adjustRightInd w:val="0"/>
        <w:spacing w:line="360" w:lineRule="auto"/>
        <w:jc w:val="both"/>
        <w:rPr>
          <w:rFonts w:ascii="Verdana" w:hAnsi="Verdana"/>
          <w:bCs/>
        </w:rPr>
      </w:pPr>
    </w:p>
    <w:p w:rsidR="00C012AA" w:rsidRPr="007E117D" w:rsidRDefault="00C012AA" w:rsidP="00B67ED0">
      <w:pPr>
        <w:autoSpaceDE w:val="0"/>
        <w:autoSpaceDN w:val="0"/>
        <w:adjustRightInd w:val="0"/>
        <w:spacing w:line="360" w:lineRule="auto"/>
        <w:jc w:val="both"/>
        <w:rPr>
          <w:rFonts w:ascii="Verdana" w:hAnsi="Verdana" w:cs="Tahoma"/>
        </w:rPr>
      </w:pPr>
      <w:r w:rsidRPr="007E117D">
        <w:rPr>
          <w:rFonts w:ascii="Verdana" w:hAnsi="Verdana"/>
          <w:bCs/>
        </w:rPr>
        <w:t>Rozstrzygnięcia wymaga także, w jakim horyzoncie czasowym zamawiający winien prz</w:t>
      </w:r>
      <w:r w:rsidRPr="007E117D">
        <w:rPr>
          <w:rFonts w:ascii="Verdana" w:hAnsi="Verdana"/>
          <w:bCs/>
        </w:rPr>
        <w:t>e</w:t>
      </w:r>
      <w:r w:rsidRPr="007E117D">
        <w:rPr>
          <w:rFonts w:ascii="Verdana" w:hAnsi="Verdana"/>
          <w:bCs/>
        </w:rPr>
        <w:t>widywać udzielanie zamówień, a tym samym zamówienia tego samego rodzaju tra</w:t>
      </w:r>
      <w:r w:rsidRPr="007E117D">
        <w:rPr>
          <w:rFonts w:ascii="Verdana" w:hAnsi="Verdana"/>
          <w:bCs/>
        </w:rPr>
        <w:t>k</w:t>
      </w:r>
      <w:r w:rsidRPr="007E117D">
        <w:rPr>
          <w:rFonts w:ascii="Verdana" w:hAnsi="Verdana"/>
          <w:bCs/>
        </w:rPr>
        <w:t xml:space="preserve">tować jako część tego samego zamówienia. </w:t>
      </w:r>
      <w:r w:rsidR="00B67ED0" w:rsidRPr="007E117D">
        <w:rPr>
          <w:rFonts w:ascii="Verdana" w:hAnsi="Verdana"/>
          <w:bCs/>
        </w:rPr>
        <w:t>W</w:t>
      </w:r>
      <w:r w:rsidRPr="007E117D">
        <w:rPr>
          <w:rFonts w:ascii="Verdana" w:hAnsi="Verdana"/>
          <w:bCs/>
        </w:rPr>
        <w:t xml:space="preserve"> opinii Prezesa UZP istotą jest przewid</w:t>
      </w:r>
      <w:r w:rsidRPr="007E117D">
        <w:rPr>
          <w:rFonts w:ascii="Verdana" w:hAnsi="Verdana"/>
          <w:bCs/>
        </w:rPr>
        <w:t>y</w:t>
      </w:r>
      <w:r w:rsidRPr="007E117D">
        <w:rPr>
          <w:rFonts w:ascii="Verdana" w:hAnsi="Verdana"/>
          <w:bCs/>
        </w:rPr>
        <w:t xml:space="preserve">walność (planowanie) określonych zamówień. </w:t>
      </w:r>
      <w:r w:rsidRPr="007E117D">
        <w:rPr>
          <w:rFonts w:ascii="Verdana" w:hAnsi="Verdana" w:cs="Tahoma"/>
          <w:i/>
        </w:rPr>
        <w:t xml:space="preserve">Z udzielaniem zamówienia w częściach (a więc obowiązkiem łącznego </w:t>
      </w:r>
      <w:r w:rsidR="00B67ED0" w:rsidRPr="007E117D">
        <w:rPr>
          <w:rFonts w:ascii="Verdana" w:hAnsi="Verdana" w:cs="Tahoma"/>
          <w:i/>
        </w:rPr>
        <w:t>traktowania</w:t>
      </w:r>
      <w:r w:rsidRPr="007E117D">
        <w:rPr>
          <w:rFonts w:ascii="Verdana" w:hAnsi="Verdana" w:cs="Tahoma"/>
          <w:i/>
        </w:rPr>
        <w:t xml:space="preserve"> wartości </w:t>
      </w:r>
      <w:r w:rsidR="00A34EDF">
        <w:rPr>
          <w:rFonts w:ascii="Verdana" w:hAnsi="Verdana" w:cs="Tahoma"/>
          <w:i/>
        </w:rPr>
        <w:t>–</w:t>
      </w:r>
      <w:r w:rsidRPr="007E117D">
        <w:rPr>
          <w:rFonts w:ascii="Verdana" w:hAnsi="Verdana" w:cs="Tahoma"/>
          <w:i/>
        </w:rPr>
        <w:t xml:space="preserve"> przyp</w:t>
      </w:r>
      <w:r w:rsidR="00A34EDF">
        <w:rPr>
          <w:rFonts w:ascii="Verdana" w:hAnsi="Verdana" w:cs="Tahoma"/>
          <w:i/>
        </w:rPr>
        <w:t>.</w:t>
      </w:r>
      <w:r w:rsidRPr="007E117D">
        <w:rPr>
          <w:rFonts w:ascii="Verdana" w:hAnsi="Verdana" w:cs="Tahoma"/>
          <w:i/>
        </w:rPr>
        <w:t xml:space="preserve"> aut.) mamy do czynienia w s</w:t>
      </w:r>
      <w:r w:rsidRPr="007E117D">
        <w:rPr>
          <w:rFonts w:ascii="Verdana" w:hAnsi="Verdana" w:cs="Tahoma"/>
          <w:i/>
        </w:rPr>
        <w:t>y</w:t>
      </w:r>
      <w:r w:rsidRPr="007E117D">
        <w:rPr>
          <w:rFonts w:ascii="Verdana" w:hAnsi="Verdana" w:cs="Tahoma"/>
          <w:i/>
        </w:rPr>
        <w:t>tuacji</w:t>
      </w:r>
      <w:r w:rsidRPr="007E117D">
        <w:rPr>
          <w:rFonts w:ascii="Verdana" w:hAnsi="Verdana" w:cs="Tahoma"/>
          <w:b/>
          <w:i/>
        </w:rPr>
        <w:t xml:space="preserve"> gdy zamawiający z góry przewiduje zakres całego zamówienia i możliwe jest jego jednorazowe udzielenie</w:t>
      </w:r>
      <w:r w:rsidRPr="007E117D">
        <w:rPr>
          <w:rFonts w:ascii="Verdana" w:hAnsi="Verdana" w:cs="Tahoma"/>
          <w:i/>
        </w:rPr>
        <w:t xml:space="preserve">. </w:t>
      </w:r>
      <w:r w:rsidRPr="007E117D">
        <w:rPr>
          <w:rFonts w:ascii="Verdana" w:hAnsi="Verdana" w:cs="Tahoma"/>
        </w:rPr>
        <w:t xml:space="preserve">W przypadku zamówień </w:t>
      </w:r>
      <w:r w:rsidR="00B67ED0" w:rsidRPr="007E117D">
        <w:rPr>
          <w:rFonts w:ascii="Verdana" w:hAnsi="Verdana" w:cs="Tahoma"/>
        </w:rPr>
        <w:t>objętych projektem dofinans</w:t>
      </w:r>
      <w:r w:rsidR="00B67ED0" w:rsidRPr="007E117D">
        <w:rPr>
          <w:rFonts w:ascii="Verdana" w:hAnsi="Verdana" w:cs="Tahoma"/>
        </w:rPr>
        <w:t>o</w:t>
      </w:r>
      <w:r w:rsidR="00B67ED0" w:rsidRPr="007E117D">
        <w:rPr>
          <w:rFonts w:ascii="Verdana" w:hAnsi="Verdana" w:cs="Tahoma"/>
        </w:rPr>
        <w:t xml:space="preserve">wanym ze środków UE </w:t>
      </w:r>
      <w:r w:rsidRPr="007E117D">
        <w:rPr>
          <w:rFonts w:ascii="Verdana" w:hAnsi="Verdana" w:cs="Tahoma"/>
        </w:rPr>
        <w:t xml:space="preserve">okres ustalania wartości zamówień </w:t>
      </w:r>
      <w:r w:rsidR="00B67ED0" w:rsidRPr="007E117D">
        <w:rPr>
          <w:rFonts w:ascii="Verdana" w:hAnsi="Verdana" w:cs="Tahoma"/>
        </w:rPr>
        <w:t xml:space="preserve">to okres </w:t>
      </w:r>
      <w:r w:rsidRPr="007E117D">
        <w:rPr>
          <w:rFonts w:ascii="Verdana" w:hAnsi="Verdana" w:cs="Tahoma"/>
        </w:rPr>
        <w:t>projektu</w:t>
      </w:r>
      <w:r w:rsidR="00B67ED0" w:rsidRPr="007E117D">
        <w:rPr>
          <w:rFonts w:ascii="Verdana" w:hAnsi="Verdana" w:cs="Tahoma"/>
        </w:rPr>
        <w:t>.</w:t>
      </w:r>
      <w:r w:rsidRPr="007E117D">
        <w:rPr>
          <w:rFonts w:ascii="Verdana" w:hAnsi="Verdana" w:cs="Tahoma"/>
        </w:rPr>
        <w:t xml:space="preserve"> </w:t>
      </w:r>
    </w:p>
    <w:p w:rsidR="00B67ED0" w:rsidRPr="007E117D" w:rsidRDefault="00B67ED0" w:rsidP="00B67ED0">
      <w:pPr>
        <w:autoSpaceDE w:val="0"/>
        <w:autoSpaceDN w:val="0"/>
        <w:adjustRightInd w:val="0"/>
        <w:spacing w:line="360" w:lineRule="auto"/>
        <w:jc w:val="both"/>
        <w:rPr>
          <w:rFonts w:ascii="Verdana" w:hAnsi="Verdana" w:cs="Tahoma"/>
        </w:rPr>
      </w:pPr>
    </w:p>
    <w:p w:rsidR="00B91EC1" w:rsidRPr="007E117D" w:rsidRDefault="00B67ED0" w:rsidP="00F47D05">
      <w:pPr>
        <w:spacing w:line="360" w:lineRule="auto"/>
        <w:jc w:val="both"/>
        <w:rPr>
          <w:rFonts w:ascii="Verdana" w:hAnsi="Verdana" w:cs="Arial"/>
          <w:iCs/>
        </w:rPr>
      </w:pPr>
      <w:r w:rsidRPr="007E117D">
        <w:rPr>
          <w:rFonts w:ascii="Verdana" w:hAnsi="Verdana" w:cs="Arial"/>
          <w:iCs/>
        </w:rPr>
        <w:t>W konkluzji rozważań powyższych należy stwierdzić, że zakres przedmiotowy zamówień to zamówienia mieszczące się w zakresu pojęcia robót z zakresu inżynierii lądowej, a o</w:t>
      </w:r>
      <w:r w:rsidRPr="007E117D">
        <w:rPr>
          <w:rFonts w:ascii="Verdana" w:hAnsi="Verdana" w:cs="Arial"/>
          <w:iCs/>
        </w:rPr>
        <w:t>d</w:t>
      </w:r>
      <w:r w:rsidRPr="007E117D">
        <w:rPr>
          <w:rFonts w:ascii="Verdana" w:hAnsi="Verdana" w:cs="Arial"/>
          <w:iCs/>
        </w:rPr>
        <w:t xml:space="preserve">rębne ustalanie wartości zamówień prowadzące do obniżenia ich wartości poniżej 5 225 000 euro obarczone jest istotnym ryzykiem uznania za niedozwolony i służący uniknięciu stosowania przepisów podział zamówienia. </w:t>
      </w:r>
    </w:p>
    <w:p w:rsidR="00B67ED0" w:rsidRPr="007E117D" w:rsidRDefault="00B67ED0" w:rsidP="00F47D05">
      <w:pPr>
        <w:spacing w:line="360" w:lineRule="auto"/>
        <w:jc w:val="both"/>
        <w:rPr>
          <w:rFonts w:ascii="Verdana" w:hAnsi="Verdana" w:cs="Arial"/>
          <w:iCs/>
        </w:rPr>
      </w:pPr>
    </w:p>
    <w:p w:rsidR="00B91EC1" w:rsidRPr="007E117D" w:rsidRDefault="00B67ED0" w:rsidP="006B3BD2">
      <w:pPr>
        <w:spacing w:line="360" w:lineRule="auto"/>
        <w:jc w:val="both"/>
        <w:rPr>
          <w:rFonts w:ascii="Verdana" w:hAnsi="Verdana" w:cs="Arial"/>
          <w:iCs/>
        </w:rPr>
      </w:pPr>
      <w:r w:rsidRPr="007E117D">
        <w:rPr>
          <w:rFonts w:ascii="Verdana" w:hAnsi="Verdana" w:cs="Arial"/>
          <w:iCs/>
        </w:rPr>
        <w:t>Jednakże specyfika przedmiotu zamówienia nakazuje zwrócić uwagę na inne przepisy ustawy krajowej (Pzp) oraz dyrektywy UE (2014/24UE)</w:t>
      </w:r>
      <w:r w:rsidR="00B822F7" w:rsidRPr="007E117D">
        <w:rPr>
          <w:rFonts w:ascii="Verdana" w:hAnsi="Verdana" w:cs="Arial"/>
          <w:iCs/>
        </w:rPr>
        <w:t>.</w:t>
      </w:r>
      <w:r w:rsidR="007E117D">
        <w:rPr>
          <w:rFonts w:ascii="Verdana" w:hAnsi="Verdana" w:cs="Arial"/>
          <w:iCs/>
        </w:rPr>
        <w:t xml:space="preserve"> </w:t>
      </w:r>
      <w:r w:rsidR="00771E32" w:rsidRPr="007E117D">
        <w:rPr>
          <w:rFonts w:ascii="Verdana" w:hAnsi="Verdana" w:cs="Arial"/>
          <w:iCs/>
        </w:rPr>
        <w:t>A</w:t>
      </w:r>
      <w:r w:rsidR="00B91EC1" w:rsidRPr="007E117D">
        <w:rPr>
          <w:rFonts w:ascii="Verdana" w:hAnsi="Verdana" w:cs="Arial"/>
          <w:iCs/>
        </w:rPr>
        <w:t xml:space="preserve">rt. 4 pkt 10 ustawy Pzp </w:t>
      </w:r>
      <w:r w:rsidR="00771E32" w:rsidRPr="007E117D">
        <w:rPr>
          <w:rFonts w:ascii="Verdana" w:hAnsi="Verdana" w:cs="Arial"/>
          <w:iCs/>
        </w:rPr>
        <w:t>stan</w:t>
      </w:r>
      <w:r w:rsidR="00771E32" w:rsidRPr="007E117D">
        <w:rPr>
          <w:rFonts w:ascii="Verdana" w:hAnsi="Verdana" w:cs="Arial"/>
          <w:iCs/>
        </w:rPr>
        <w:t>o</w:t>
      </w:r>
      <w:r w:rsidR="00771E32" w:rsidRPr="007E117D">
        <w:rPr>
          <w:rFonts w:ascii="Verdana" w:hAnsi="Verdana" w:cs="Arial"/>
          <w:iCs/>
        </w:rPr>
        <w:t xml:space="preserve">wi, że jej przepisów nie stosuje się do zamówień </w:t>
      </w:r>
      <w:r w:rsidR="00B91EC1" w:rsidRPr="007E117D">
        <w:rPr>
          <w:rFonts w:ascii="Verdana" w:hAnsi="Verdana"/>
          <w:bCs/>
          <w:iCs/>
        </w:rPr>
        <w:t>udziel</w:t>
      </w:r>
      <w:r w:rsidR="00B91EC1" w:rsidRPr="007E117D">
        <w:rPr>
          <w:rFonts w:ascii="Verdana" w:hAnsi="Verdana"/>
          <w:bCs/>
          <w:iCs/>
        </w:rPr>
        <w:t>a</w:t>
      </w:r>
      <w:r w:rsidR="00B91EC1" w:rsidRPr="007E117D">
        <w:rPr>
          <w:rFonts w:ascii="Verdana" w:hAnsi="Verdana"/>
          <w:bCs/>
          <w:iCs/>
        </w:rPr>
        <w:t>nych przez zamawiających, o których mowa w art. 3 ust. 1 pkt 1-3a, kt</w:t>
      </w:r>
      <w:r w:rsidR="00B91EC1" w:rsidRPr="007E117D">
        <w:rPr>
          <w:rFonts w:ascii="Verdana" w:hAnsi="Verdana"/>
          <w:bCs/>
          <w:iCs/>
        </w:rPr>
        <w:t>ó</w:t>
      </w:r>
      <w:r w:rsidR="00B91EC1" w:rsidRPr="007E117D">
        <w:rPr>
          <w:rFonts w:ascii="Verdana" w:hAnsi="Verdana"/>
          <w:bCs/>
          <w:iCs/>
        </w:rPr>
        <w:t>rych głównym celem jest:</w:t>
      </w:r>
    </w:p>
    <w:p w:rsidR="00B91EC1" w:rsidRPr="007E117D" w:rsidRDefault="00B91EC1" w:rsidP="007E117D">
      <w:pPr>
        <w:spacing w:before="120" w:line="360" w:lineRule="auto"/>
        <w:ind w:left="708"/>
        <w:jc w:val="both"/>
        <w:rPr>
          <w:rFonts w:ascii="Verdana" w:hAnsi="Verdana"/>
        </w:rPr>
      </w:pPr>
      <w:r w:rsidRPr="007E117D">
        <w:rPr>
          <w:rFonts w:ascii="Verdana" w:hAnsi="Verdana"/>
        </w:rPr>
        <w:t>a)  pozwolenie zamawiającym na oddanie do dyspozycji publicznej sieci telekom</w:t>
      </w:r>
      <w:r w:rsidRPr="007E117D">
        <w:rPr>
          <w:rFonts w:ascii="Verdana" w:hAnsi="Verdana"/>
        </w:rPr>
        <w:t>u</w:t>
      </w:r>
      <w:r w:rsidRPr="007E117D">
        <w:rPr>
          <w:rFonts w:ascii="Verdana" w:hAnsi="Verdana"/>
        </w:rPr>
        <w:t>nikacy</w:t>
      </w:r>
      <w:r w:rsidRPr="007E117D">
        <w:rPr>
          <w:rFonts w:ascii="Verdana" w:hAnsi="Verdana"/>
        </w:rPr>
        <w:t>j</w:t>
      </w:r>
      <w:r w:rsidRPr="007E117D">
        <w:rPr>
          <w:rFonts w:ascii="Verdana" w:hAnsi="Verdana"/>
        </w:rPr>
        <w:t>nej lub</w:t>
      </w:r>
    </w:p>
    <w:p w:rsidR="00B91EC1" w:rsidRPr="007E117D" w:rsidRDefault="00B91EC1" w:rsidP="007E117D">
      <w:pPr>
        <w:spacing w:before="120" w:line="360" w:lineRule="auto"/>
        <w:ind w:left="708"/>
        <w:jc w:val="both"/>
        <w:rPr>
          <w:rFonts w:ascii="Verdana" w:hAnsi="Verdana"/>
        </w:rPr>
      </w:pPr>
      <w:r w:rsidRPr="007E117D">
        <w:rPr>
          <w:rFonts w:ascii="Verdana" w:hAnsi="Verdana"/>
        </w:rPr>
        <w:t>b)  eksploatacja publicznej sieci telekomunikacyjnej, lub</w:t>
      </w:r>
    </w:p>
    <w:p w:rsidR="00B91EC1" w:rsidRPr="007E117D" w:rsidRDefault="00B91EC1" w:rsidP="007E117D">
      <w:pPr>
        <w:spacing w:before="120" w:line="360" w:lineRule="auto"/>
        <w:ind w:left="708"/>
        <w:jc w:val="both"/>
        <w:rPr>
          <w:rFonts w:ascii="Verdana" w:hAnsi="Verdana"/>
        </w:rPr>
      </w:pPr>
      <w:r w:rsidRPr="007E117D">
        <w:rPr>
          <w:rFonts w:ascii="Verdana" w:hAnsi="Verdana"/>
        </w:rPr>
        <w:t>c)   świadczenie publicznie dostępnych usług telekomunikacyjnych za pomocą p</w:t>
      </w:r>
      <w:r w:rsidRPr="007E117D">
        <w:rPr>
          <w:rFonts w:ascii="Verdana" w:hAnsi="Verdana"/>
        </w:rPr>
        <w:t>u</w:t>
      </w:r>
      <w:r w:rsidRPr="007E117D">
        <w:rPr>
          <w:rFonts w:ascii="Verdana" w:hAnsi="Verdana"/>
        </w:rPr>
        <w:t>blicznej sieci telek</w:t>
      </w:r>
      <w:r w:rsidRPr="007E117D">
        <w:rPr>
          <w:rFonts w:ascii="Verdana" w:hAnsi="Verdana"/>
        </w:rPr>
        <w:t>o</w:t>
      </w:r>
      <w:r w:rsidRPr="007E117D">
        <w:rPr>
          <w:rFonts w:ascii="Verdana" w:hAnsi="Verdana"/>
        </w:rPr>
        <w:t>munikacyjnej;</w:t>
      </w:r>
    </w:p>
    <w:p w:rsidR="00B91EC1" w:rsidRPr="007E117D" w:rsidRDefault="00B91EC1" w:rsidP="006B3BD2">
      <w:pPr>
        <w:suppressAutoHyphens/>
        <w:spacing w:line="360" w:lineRule="auto"/>
        <w:jc w:val="both"/>
        <w:rPr>
          <w:rFonts w:ascii="Verdana" w:hAnsi="Verdana"/>
        </w:rPr>
      </w:pPr>
    </w:p>
    <w:p w:rsidR="006B3BD2" w:rsidRPr="007E117D" w:rsidRDefault="006B3BD2" w:rsidP="006B3BD2">
      <w:pPr>
        <w:suppressAutoHyphens/>
        <w:spacing w:line="360" w:lineRule="auto"/>
        <w:jc w:val="both"/>
        <w:rPr>
          <w:rFonts w:ascii="Verdana" w:hAnsi="Verdana"/>
        </w:rPr>
      </w:pPr>
      <w:r w:rsidRPr="007E117D">
        <w:rPr>
          <w:rFonts w:ascii="Verdana" w:hAnsi="Verdana"/>
        </w:rPr>
        <w:t xml:space="preserve">Ustalenia wymaga, czy przepis ten dotyczy zamawiających - beneficjentów POPC działanie 1.1 (ujęcie podmiotowe) oraz czy przedmiot zamówienia i jego główny cel mieszczą się w lit a) – c) przepisu. </w:t>
      </w:r>
    </w:p>
    <w:p w:rsidR="007E117D" w:rsidRDefault="007E117D" w:rsidP="006B3BD2">
      <w:pPr>
        <w:suppressAutoHyphens/>
        <w:spacing w:line="360" w:lineRule="auto"/>
        <w:jc w:val="both"/>
        <w:rPr>
          <w:rFonts w:ascii="Verdana" w:hAnsi="Verdana"/>
        </w:rPr>
      </w:pPr>
    </w:p>
    <w:p w:rsidR="006B3BD2" w:rsidRPr="007E117D" w:rsidRDefault="00B91EC1" w:rsidP="006B3BD2">
      <w:pPr>
        <w:suppressAutoHyphens/>
        <w:spacing w:line="360" w:lineRule="auto"/>
        <w:jc w:val="both"/>
        <w:rPr>
          <w:rFonts w:ascii="Verdana" w:hAnsi="Verdana" w:cs="Tahoma"/>
        </w:rPr>
      </w:pPr>
      <w:r w:rsidRPr="007E117D">
        <w:rPr>
          <w:rFonts w:ascii="Verdana" w:hAnsi="Verdana"/>
        </w:rPr>
        <w:t xml:space="preserve">Zgodnie z art. 2 pkt 29) ustawy Prawo telekomunikacyjne publiczna sieć telekomunikacyjna </w:t>
      </w:r>
      <w:r w:rsidR="00771E32" w:rsidRPr="007E117D">
        <w:rPr>
          <w:rFonts w:ascii="Verdana" w:hAnsi="Verdana"/>
        </w:rPr>
        <w:t>to</w:t>
      </w:r>
      <w:r w:rsidRPr="007E117D">
        <w:rPr>
          <w:rFonts w:ascii="Verdana" w:hAnsi="Verdana"/>
        </w:rPr>
        <w:t xml:space="preserve"> sieć telekomunikacyjną wykorzystywan</w:t>
      </w:r>
      <w:r w:rsidR="00771E32" w:rsidRPr="007E117D">
        <w:rPr>
          <w:rFonts w:ascii="Verdana" w:hAnsi="Verdana"/>
        </w:rPr>
        <w:t>a</w:t>
      </w:r>
      <w:r w:rsidRPr="007E117D">
        <w:rPr>
          <w:rFonts w:ascii="Verdana" w:hAnsi="Verdana"/>
        </w:rPr>
        <w:t xml:space="preserve"> głównie do świadczenia publicznie dostępnych usług telekomunikacyjnych</w:t>
      </w:r>
      <w:r w:rsidR="006B3BD2" w:rsidRPr="007E117D">
        <w:rPr>
          <w:rFonts w:ascii="Verdana" w:hAnsi="Verdana"/>
        </w:rPr>
        <w:t xml:space="preserve">. Prawo </w:t>
      </w:r>
      <w:r w:rsidR="002A55AA" w:rsidRPr="007E117D">
        <w:rPr>
          <w:rFonts w:ascii="Verdana" w:hAnsi="Verdana"/>
        </w:rPr>
        <w:t>telekomunikacyjne</w:t>
      </w:r>
      <w:r w:rsidR="006B3BD2" w:rsidRPr="007E117D">
        <w:rPr>
          <w:rFonts w:ascii="Verdana" w:hAnsi="Verdana"/>
        </w:rPr>
        <w:t xml:space="preserve"> wdraża w tej definicji przepisy d</w:t>
      </w:r>
      <w:r w:rsidR="006B3BD2" w:rsidRPr="007E117D">
        <w:rPr>
          <w:rFonts w:ascii="Verdana" w:hAnsi="Verdana" w:cs="EUAlbertina"/>
        </w:rPr>
        <w:t>yrektywy 2002/21/WE Parlamentu Europejskiego i Rady z dnia 7 marca 2002 r. w sprawie wspólnych ram regulacyjnych sieci i usług łączności elektronicznej zgodnie z którą (a</w:t>
      </w:r>
      <w:r w:rsidR="006B3BD2" w:rsidRPr="007E117D">
        <w:rPr>
          <w:rFonts w:ascii="Verdana" w:hAnsi="Verdana" w:cs="Tahoma"/>
        </w:rPr>
        <w:t xml:space="preserve">rt. 2 lit d) publiczna sieć łączności" oznacza sieć łączności elektronicznej wykorzystywaną całkowicie lub częściowo do świadczenia publicznie dostępnych usług łączności elektronicznej. Z kolei zgodnie z art. 2 lit a) sieć łączności elektronicznej" oznacza systemy transmisyjne, oraz stosownie do okoliczności, urządzenia przełączające i </w:t>
      </w:r>
      <w:proofErr w:type="spellStart"/>
      <w:r w:rsidR="006B3BD2" w:rsidRPr="007E117D">
        <w:rPr>
          <w:rFonts w:ascii="Verdana" w:hAnsi="Verdana" w:cs="Tahoma"/>
        </w:rPr>
        <w:t>routingowe</w:t>
      </w:r>
      <w:proofErr w:type="spellEnd"/>
      <w:r w:rsidR="006B3BD2" w:rsidRPr="007E117D">
        <w:rPr>
          <w:rFonts w:ascii="Verdana" w:hAnsi="Verdana" w:cs="Tahoma"/>
        </w:rPr>
        <w:t xml:space="preserve"> oraz inne zasoby, które umożliwiają przekazywanie sygnałów przewodowo, za pomocą radia, środków optycznych lub innych elektromagnetycznych środków, w tym sieci satelitarnych, stacjonarnych (komutowanych i pakietowych, w tym Internetu) i naziemnych sieci przenośnych, elektrycznych systemów kablowych, w takim zakresie, w jakim są one wykorzystywane do przekazywania sygnałów, w sieciach nadawania radiowego i telewizyjnego oraz sieciach telewizji kablowej, niezależnie od rodzaju przekazywanej informacji, zaś usługa łączności elektronicznej"  (art. 2 lit c) oznacza usługę zazwyczaj świadczoną za wynagrodzeniem, polegającą całkowicie lub częściowo na przekazywaniu sygnałów w sieciach łączności elektronicznej, w tym usługi telekomunikacyjne i usługi transmisyjne świadczone poprzez sieci nadawcze; </w:t>
      </w:r>
    </w:p>
    <w:p w:rsidR="006B3BD2" w:rsidRPr="007E117D" w:rsidRDefault="006B3BD2" w:rsidP="006B3BD2">
      <w:pPr>
        <w:suppressAutoHyphens/>
        <w:spacing w:line="360" w:lineRule="auto"/>
        <w:jc w:val="both"/>
        <w:rPr>
          <w:rFonts w:ascii="Verdana" w:hAnsi="Verdana" w:cs="Tahoma"/>
        </w:rPr>
      </w:pPr>
    </w:p>
    <w:p w:rsidR="00156AD8" w:rsidRPr="007E117D" w:rsidRDefault="006B3BD2" w:rsidP="006B3BD2">
      <w:pPr>
        <w:suppressAutoHyphens/>
        <w:spacing w:line="360" w:lineRule="auto"/>
        <w:jc w:val="both"/>
        <w:rPr>
          <w:rFonts w:ascii="Verdana" w:hAnsi="Verdana" w:cs="Tahoma"/>
        </w:rPr>
      </w:pPr>
      <w:r w:rsidRPr="007E117D">
        <w:rPr>
          <w:rFonts w:ascii="Verdana" w:hAnsi="Verdana" w:cs="Tahoma"/>
        </w:rPr>
        <w:t xml:space="preserve">W kontekście powyższych przepisów nie ulega wątpliwości, że sieć, która jest tworzona w celu umożliwienia dostępu gospodarstwom domowym oraz szkołom do </w:t>
      </w:r>
      <w:r w:rsidR="002A55AA">
        <w:rPr>
          <w:rFonts w:ascii="Verdana" w:hAnsi="Verdana" w:cs="Tahoma"/>
        </w:rPr>
        <w:t>i</w:t>
      </w:r>
      <w:r w:rsidRPr="007E117D">
        <w:rPr>
          <w:rFonts w:ascii="Verdana" w:hAnsi="Verdana" w:cs="Tahoma"/>
        </w:rPr>
        <w:t>nternetu jest publiczną siecią telekomunikacyjną (elektroniczną w rozumieniu prawa UE)</w:t>
      </w:r>
      <w:r w:rsidR="002A55AA">
        <w:rPr>
          <w:rFonts w:ascii="Verdana" w:hAnsi="Verdana" w:cs="Tahoma"/>
        </w:rPr>
        <w:t>,</w:t>
      </w:r>
      <w:r w:rsidRPr="007E117D">
        <w:rPr>
          <w:rFonts w:ascii="Verdana" w:hAnsi="Verdana" w:cs="Tahoma"/>
        </w:rPr>
        <w:t xml:space="preserve"> </w:t>
      </w:r>
      <w:r w:rsidR="002A55AA">
        <w:rPr>
          <w:rFonts w:ascii="Verdana" w:hAnsi="Verdana" w:cs="Tahoma"/>
        </w:rPr>
        <w:t>a</w:t>
      </w:r>
      <w:r w:rsidRPr="007E117D">
        <w:rPr>
          <w:rFonts w:ascii="Verdana" w:hAnsi="Verdana" w:cs="Tahoma"/>
        </w:rPr>
        <w:t xml:space="preserve"> główny</w:t>
      </w:r>
      <w:r w:rsidR="002A55AA">
        <w:rPr>
          <w:rFonts w:ascii="Verdana" w:hAnsi="Verdana" w:cs="Tahoma"/>
        </w:rPr>
        <w:t>m</w:t>
      </w:r>
      <w:r w:rsidRPr="007E117D">
        <w:rPr>
          <w:rFonts w:ascii="Verdana" w:hAnsi="Verdana" w:cs="Tahoma"/>
        </w:rPr>
        <w:t xml:space="preserve"> celem zamówienia jest dążenie do oddania tej sieci do dyspozycji wskazanym użytkownikom (do użytku publicznego). Zakres przedmiotowy wyłączenia z art. 4 pkt 10 ustawy Pzp nie budzi więc wątpliwości i przy tak zakreślonym przedmiocie zamówienia jak opisany w działaniu 1.1. mógłby być podstawą odstąpienia od stosowania przepisów Pzp. </w:t>
      </w:r>
    </w:p>
    <w:p w:rsidR="002A55AA" w:rsidRDefault="002A55AA" w:rsidP="006B3BD2">
      <w:pPr>
        <w:suppressAutoHyphens/>
        <w:spacing w:line="360" w:lineRule="auto"/>
        <w:jc w:val="both"/>
        <w:rPr>
          <w:rFonts w:ascii="Verdana" w:hAnsi="Verdana" w:cs="Tahoma"/>
        </w:rPr>
      </w:pPr>
    </w:p>
    <w:p w:rsidR="006B3BD2" w:rsidRPr="007E117D" w:rsidRDefault="006B3BD2" w:rsidP="006B3BD2">
      <w:pPr>
        <w:suppressAutoHyphens/>
        <w:spacing w:line="360" w:lineRule="auto"/>
        <w:jc w:val="both"/>
        <w:rPr>
          <w:rFonts w:ascii="Verdana" w:hAnsi="Verdana"/>
          <w:bCs/>
          <w:iCs/>
        </w:rPr>
      </w:pPr>
      <w:r w:rsidRPr="007E117D">
        <w:rPr>
          <w:rFonts w:ascii="Verdana" w:hAnsi="Verdana" w:cs="Tahoma"/>
        </w:rPr>
        <w:t xml:space="preserve">Rozstrzygnięcia wymaga natomiast zakres  podmiotowy wyłączenia. </w:t>
      </w:r>
      <w:r w:rsidR="00156AD8" w:rsidRPr="007E117D">
        <w:rPr>
          <w:rFonts w:ascii="Verdana" w:hAnsi="Verdana" w:cs="Tahoma"/>
        </w:rPr>
        <w:t xml:space="preserve">Art. 4 pkt 10 ustawy Pzp wskazuje że chodzi wyłącznie o </w:t>
      </w:r>
      <w:r w:rsidR="00156AD8" w:rsidRPr="007E117D">
        <w:rPr>
          <w:rFonts w:ascii="Verdana" w:hAnsi="Verdana"/>
          <w:bCs/>
          <w:iCs/>
        </w:rPr>
        <w:t>zamawiających, o których mowa w art. 3 ust. 1 pkt 1-3a. Literalna wykładnia wykluczałaby więc zastosowanie wyłączenia do zamawiających</w:t>
      </w:r>
      <w:r w:rsidR="002A55AA">
        <w:rPr>
          <w:rFonts w:ascii="Verdana" w:hAnsi="Verdana"/>
          <w:bCs/>
          <w:iCs/>
        </w:rPr>
        <w:t>,</w:t>
      </w:r>
      <w:r w:rsidR="00156AD8" w:rsidRPr="007E117D">
        <w:rPr>
          <w:rFonts w:ascii="Verdana" w:hAnsi="Verdana"/>
          <w:bCs/>
          <w:iCs/>
        </w:rPr>
        <w:t xml:space="preserve"> o których mowa w art. 3 ust. 1 pkt 5)</w:t>
      </w:r>
      <w:r w:rsidR="002A55AA">
        <w:rPr>
          <w:rFonts w:ascii="Verdana" w:hAnsi="Verdana"/>
          <w:bCs/>
          <w:iCs/>
        </w:rPr>
        <w:t>, a do tych zaliczają się beneficjenci działania 1.1. POPC</w:t>
      </w:r>
      <w:r w:rsidR="00156AD8" w:rsidRPr="007E117D">
        <w:rPr>
          <w:rFonts w:ascii="Verdana" w:hAnsi="Verdana"/>
          <w:bCs/>
          <w:iCs/>
        </w:rPr>
        <w:t xml:space="preserve">. Wykładnia ta już po wstępnej analizie musi jednak budzić poważne wątpliwości. Prowadzi bowiem do wniosku, że obowiązek stosowania przepisów o zamówieniach publicznych został zdjęty z podmiotów, które w zakresie swej bieżącej i zasadniczej działalności te przepisy są obowiązane stosować, pod czas gdy nie zdjęto go z podmiotów, które przepisów ustawy co do zasady nie stosują. Taka wykładnia prowadziłaby więc do sytuacji niezrozumiałej, w której dysponująca środkami publicznymi gmina, jednostka budżetowa czy też inna jednostka sektora finansów publicznych udzielając zamówienia nie stosowałaby przepisów ustawy Pzp, zaś podmiot prywatny udzielając identycznego przedmiotowo zamówienia wspierając się środkami publicznymi takie przepisy musiałby stosować. </w:t>
      </w:r>
    </w:p>
    <w:p w:rsidR="00156AD8" w:rsidRPr="007E117D" w:rsidRDefault="00156AD8" w:rsidP="006B3BD2">
      <w:pPr>
        <w:suppressAutoHyphens/>
        <w:spacing w:line="360" w:lineRule="auto"/>
        <w:jc w:val="both"/>
        <w:rPr>
          <w:rFonts w:ascii="Verdana" w:hAnsi="Verdana"/>
          <w:bCs/>
          <w:iCs/>
        </w:rPr>
      </w:pPr>
    </w:p>
    <w:p w:rsidR="00F81DB1" w:rsidRPr="007E117D" w:rsidRDefault="00156AD8" w:rsidP="00F81DB1">
      <w:pPr>
        <w:suppressAutoHyphens/>
        <w:spacing w:line="360" w:lineRule="auto"/>
        <w:jc w:val="both"/>
        <w:rPr>
          <w:rFonts w:ascii="Verdana" w:hAnsi="Verdana" w:cs="EUAlbertina"/>
        </w:rPr>
      </w:pPr>
      <w:r w:rsidRPr="007E117D">
        <w:rPr>
          <w:rFonts w:ascii="Verdana" w:hAnsi="Verdana"/>
          <w:bCs/>
          <w:iCs/>
        </w:rPr>
        <w:t xml:space="preserve">Niezbędne w tej sytuacji wydaje się sięgnięcie po inną wykładnię prawa w celu odkodowania normy prawnej zawartej w przepisie art. 4 pkt 10 Pzp. </w:t>
      </w:r>
      <w:r w:rsidR="00F81DB1" w:rsidRPr="007E117D">
        <w:rPr>
          <w:rFonts w:ascii="Verdana" w:hAnsi="Verdana"/>
          <w:bCs/>
          <w:iCs/>
        </w:rPr>
        <w:t xml:space="preserve">Ponieważ przepis ten wdraża przepisy prawa UE to niezbędne wydaje się zweryfikowanie jego treści w kontekście normy wdrażanej. W tym przypadku jest to art. 8 dyrektywy 2014/24UE, który stanowi, że </w:t>
      </w:r>
      <w:r w:rsidR="002A55AA">
        <w:rPr>
          <w:rFonts w:ascii="Verdana" w:hAnsi="Verdana" w:cs="EUAlbertina"/>
          <w:i/>
        </w:rPr>
        <w:t>n</w:t>
      </w:r>
      <w:r w:rsidR="00F81DB1" w:rsidRPr="007E117D">
        <w:rPr>
          <w:rFonts w:ascii="Verdana" w:hAnsi="Verdana" w:cs="EUAlbertina"/>
          <w:i/>
        </w:rPr>
        <w:t xml:space="preserve">iniejsza dyrektywa nie ma zastosowania do zamówień publicznych i konkursów, których głównym celem jest umożliwienie instytucjom zamawiającym udostępnienia lub eksploatacji publicznych sieci łączności lub świadczenia ogółowi społeczeństwa usługi lub usług łączności elektronicznej. </w:t>
      </w:r>
    </w:p>
    <w:p w:rsidR="005C7412" w:rsidRPr="007E117D" w:rsidRDefault="005C7412" w:rsidP="00F81DB1">
      <w:pPr>
        <w:suppressAutoHyphens/>
        <w:spacing w:line="360" w:lineRule="auto"/>
        <w:jc w:val="both"/>
        <w:rPr>
          <w:rFonts w:ascii="Verdana" w:hAnsi="Verdana" w:cs="EUAlbertina"/>
        </w:rPr>
      </w:pPr>
    </w:p>
    <w:p w:rsidR="00F81DB1" w:rsidRPr="007E117D" w:rsidRDefault="00F81DB1" w:rsidP="00F81DB1">
      <w:pPr>
        <w:suppressAutoHyphens/>
        <w:spacing w:line="360" w:lineRule="auto"/>
        <w:jc w:val="both"/>
        <w:rPr>
          <w:rFonts w:ascii="Verdana" w:hAnsi="Verdana" w:cs="EUAlbertina"/>
          <w:i/>
        </w:rPr>
      </w:pPr>
      <w:r w:rsidRPr="007E117D">
        <w:rPr>
          <w:rFonts w:ascii="Verdana" w:hAnsi="Verdana" w:cs="EUAlbertina"/>
        </w:rPr>
        <w:t>Podmioty prywatne</w:t>
      </w:r>
      <w:r w:rsidR="00B9133E" w:rsidRPr="007E117D">
        <w:rPr>
          <w:rFonts w:ascii="Verdana" w:hAnsi="Verdana" w:cs="EUAlbertina"/>
        </w:rPr>
        <w:t>, a więc o statusie takim</w:t>
      </w:r>
      <w:r w:rsidR="005C7412" w:rsidRPr="007E117D">
        <w:rPr>
          <w:rFonts w:ascii="Verdana" w:hAnsi="Verdana" w:cs="EUAlbertina"/>
        </w:rPr>
        <w:t>,</w:t>
      </w:r>
      <w:r w:rsidR="00B9133E" w:rsidRPr="007E117D">
        <w:rPr>
          <w:rFonts w:ascii="Verdana" w:hAnsi="Verdana" w:cs="EUAlbertina"/>
        </w:rPr>
        <w:t xml:space="preserve"> jaki będą posiadać beneficjenci POPC – działania 1.1 nie są w rozumieniu dyrektywy instytucja </w:t>
      </w:r>
      <w:r w:rsidR="005C7412" w:rsidRPr="007E117D">
        <w:rPr>
          <w:rFonts w:ascii="Verdana" w:hAnsi="Verdana" w:cs="EUAlbertina"/>
        </w:rPr>
        <w:t>zamawiającą</w:t>
      </w:r>
      <w:r w:rsidR="00B9133E" w:rsidRPr="007E117D">
        <w:rPr>
          <w:rFonts w:ascii="Verdana" w:hAnsi="Verdana" w:cs="EUAlbertina"/>
        </w:rPr>
        <w:t xml:space="preserve"> (art. 2 pkt 1). Jednakże dyrektywa w odróżnieni</w:t>
      </w:r>
      <w:r w:rsidR="005C7412" w:rsidRPr="007E117D">
        <w:rPr>
          <w:rFonts w:ascii="Verdana" w:hAnsi="Verdana" w:cs="EUAlbertina"/>
        </w:rPr>
        <w:t>u</w:t>
      </w:r>
      <w:r w:rsidR="00B9133E" w:rsidRPr="007E117D">
        <w:rPr>
          <w:rFonts w:ascii="Verdana" w:hAnsi="Verdana" w:cs="EUAlbertina"/>
        </w:rPr>
        <w:t xml:space="preserve"> od prawa polskiego, wskazuje ze wyłączeni</w:t>
      </w:r>
      <w:r w:rsidR="005C7412" w:rsidRPr="007E117D">
        <w:rPr>
          <w:rFonts w:ascii="Verdana" w:hAnsi="Verdana" w:cs="EUAlbertina"/>
        </w:rPr>
        <w:t>e dotyczące udostępnienia</w:t>
      </w:r>
      <w:r w:rsidR="00B9133E" w:rsidRPr="007E117D">
        <w:rPr>
          <w:rFonts w:ascii="Verdana" w:hAnsi="Verdana" w:cs="EUAlbertina"/>
        </w:rPr>
        <w:t xml:space="preserve"> sieci telekomunikacyjnej </w:t>
      </w:r>
      <w:r w:rsidR="005C7412" w:rsidRPr="007E117D">
        <w:rPr>
          <w:rFonts w:ascii="Verdana" w:hAnsi="Verdana" w:cs="EUAlbertina"/>
        </w:rPr>
        <w:t xml:space="preserve">(art. 8) </w:t>
      </w:r>
      <w:r w:rsidR="00B9133E" w:rsidRPr="007E117D">
        <w:rPr>
          <w:rFonts w:ascii="Verdana" w:hAnsi="Verdana" w:cs="EUAlbertina"/>
        </w:rPr>
        <w:t>nie jest ograniczone do sytuacji</w:t>
      </w:r>
      <w:r w:rsidR="002A55AA">
        <w:rPr>
          <w:rFonts w:ascii="Verdana" w:hAnsi="Verdana" w:cs="EUAlbertina"/>
        </w:rPr>
        <w:t>,</w:t>
      </w:r>
      <w:r w:rsidR="00B9133E" w:rsidRPr="007E117D">
        <w:rPr>
          <w:rFonts w:ascii="Verdana" w:hAnsi="Verdana" w:cs="EUAlbertina"/>
        </w:rPr>
        <w:t xml:space="preserve"> w których zamówienie </w:t>
      </w:r>
      <w:r w:rsidR="005C7412" w:rsidRPr="007E117D">
        <w:rPr>
          <w:rFonts w:ascii="Verdana" w:hAnsi="Verdana" w:cs="EUAlbertina"/>
        </w:rPr>
        <w:t xml:space="preserve">na stworzenie sieci </w:t>
      </w:r>
      <w:r w:rsidR="00B9133E" w:rsidRPr="007E117D">
        <w:rPr>
          <w:rFonts w:ascii="Verdana" w:hAnsi="Verdana" w:cs="EUAlbertina"/>
        </w:rPr>
        <w:t xml:space="preserve">jest udzielane przez instytucję zamawiającą. Wyłączenie ma charakter </w:t>
      </w:r>
      <w:r w:rsidR="005C7412" w:rsidRPr="007E117D">
        <w:rPr>
          <w:rFonts w:ascii="Verdana" w:hAnsi="Verdana" w:cs="EUAlbertina"/>
        </w:rPr>
        <w:t>przedmiotowy</w:t>
      </w:r>
      <w:r w:rsidR="00B9133E" w:rsidRPr="007E117D">
        <w:rPr>
          <w:rFonts w:ascii="Verdana" w:hAnsi="Verdana" w:cs="EUAlbertina"/>
        </w:rPr>
        <w:t xml:space="preserve"> i znajdzie zastosowanie zawsze, gdy dotyczy zamówienia</w:t>
      </w:r>
      <w:r w:rsidR="002A55AA">
        <w:rPr>
          <w:rFonts w:ascii="Verdana" w:hAnsi="Verdana" w:cs="EUAlbertina"/>
        </w:rPr>
        <w:t>,</w:t>
      </w:r>
      <w:r w:rsidR="00B9133E" w:rsidRPr="007E117D">
        <w:rPr>
          <w:rFonts w:ascii="Verdana" w:hAnsi="Verdana" w:cs="EUAlbertina"/>
        </w:rPr>
        <w:t xml:space="preserve"> którego </w:t>
      </w:r>
      <w:r w:rsidR="00B9133E" w:rsidRPr="002A55AA">
        <w:rPr>
          <w:rFonts w:ascii="Verdana" w:hAnsi="Verdana" w:cs="EUAlbertina"/>
          <w:b/>
        </w:rPr>
        <w:t>celem jest umożliwienie instytucji zamawiającej udostępni</w:t>
      </w:r>
      <w:r w:rsidR="005C7412" w:rsidRPr="002A55AA">
        <w:rPr>
          <w:rFonts w:ascii="Verdana" w:hAnsi="Verdana" w:cs="EUAlbertina"/>
          <w:b/>
        </w:rPr>
        <w:t>e</w:t>
      </w:r>
      <w:r w:rsidR="00B9133E" w:rsidRPr="002A55AA">
        <w:rPr>
          <w:rFonts w:ascii="Verdana" w:hAnsi="Verdana" w:cs="EUAlbertina"/>
          <w:b/>
        </w:rPr>
        <w:t>ni</w:t>
      </w:r>
      <w:r w:rsidR="005C7412" w:rsidRPr="002A55AA">
        <w:rPr>
          <w:rFonts w:ascii="Verdana" w:hAnsi="Verdana" w:cs="EUAlbertina"/>
          <w:b/>
        </w:rPr>
        <w:t>a t</w:t>
      </w:r>
      <w:r w:rsidR="00B9133E" w:rsidRPr="002A55AA">
        <w:rPr>
          <w:rFonts w:ascii="Verdana" w:hAnsi="Verdana" w:cs="EUAlbertina"/>
          <w:b/>
        </w:rPr>
        <w:t>aki</w:t>
      </w:r>
      <w:r w:rsidR="005C7412" w:rsidRPr="002A55AA">
        <w:rPr>
          <w:rFonts w:ascii="Verdana" w:hAnsi="Verdana" w:cs="EUAlbertina"/>
          <w:b/>
        </w:rPr>
        <w:t>ej sieci</w:t>
      </w:r>
      <w:r w:rsidR="005C7412" w:rsidRPr="007E117D">
        <w:rPr>
          <w:rFonts w:ascii="Verdana" w:hAnsi="Verdana" w:cs="EUAlbertina"/>
        </w:rPr>
        <w:t xml:space="preserve">. „Umożliwienie udostępnienia” to także sytuacja, w której instytucja zamawiająca tą możliwość realizuje poprzez przekazanie środków innemu podmiotowi (prywatnemu) w celu uzyskania rezultatu. Nie ma więc zastosowania dyrektywa zarówno do czynności przekazania dotacji/dofinansowania (co w polskiej ustawie </w:t>
      </w:r>
      <w:r w:rsidR="002A55AA" w:rsidRPr="007E117D">
        <w:rPr>
          <w:rFonts w:ascii="Verdana" w:hAnsi="Verdana" w:cs="EUAlbertina"/>
        </w:rPr>
        <w:t>odzwierciedla</w:t>
      </w:r>
      <w:r w:rsidR="005C7412" w:rsidRPr="007E117D">
        <w:rPr>
          <w:rFonts w:ascii="Verdana" w:hAnsi="Verdana" w:cs="EUAlbertina"/>
        </w:rPr>
        <w:t xml:space="preserve"> art. 4 pkt 7) jak i do udzielania zamówień, co wprost wynika z pierwszego zdania art. 8 dyrektywy. I nie ma przy tym znaczenia kto jest udzielającym zamówienia</w:t>
      </w:r>
      <w:r w:rsidR="002A55AA">
        <w:rPr>
          <w:rFonts w:ascii="Verdana" w:hAnsi="Verdana" w:cs="EUAlbertina"/>
        </w:rPr>
        <w:t>,</w:t>
      </w:r>
      <w:r w:rsidR="005C7412" w:rsidRPr="007E117D">
        <w:rPr>
          <w:rFonts w:ascii="Verdana" w:hAnsi="Verdana" w:cs="EUAlbertina"/>
        </w:rPr>
        <w:t xml:space="preserve"> gdyż ważne jest jedynie czy celem zamówienia jest umożliwienie udostępnienia sieci. </w:t>
      </w:r>
    </w:p>
    <w:p w:rsidR="00156AD8" w:rsidRPr="007E117D" w:rsidRDefault="00156AD8" w:rsidP="006B3BD2">
      <w:pPr>
        <w:suppressAutoHyphens/>
        <w:spacing w:line="360" w:lineRule="auto"/>
        <w:jc w:val="both"/>
        <w:rPr>
          <w:rFonts w:ascii="Verdana" w:hAnsi="Verdana" w:cs="Arial"/>
        </w:rPr>
      </w:pPr>
    </w:p>
    <w:p w:rsidR="00FD57A1" w:rsidRPr="007E117D" w:rsidRDefault="00FD57A1" w:rsidP="00FD57A1">
      <w:pPr>
        <w:jc w:val="both"/>
        <w:rPr>
          <w:b/>
        </w:rPr>
      </w:pPr>
    </w:p>
    <w:p w:rsidR="00B9133E" w:rsidRPr="007E117D" w:rsidRDefault="00356CCE" w:rsidP="00356CCE">
      <w:pPr>
        <w:pStyle w:val="CM4"/>
        <w:spacing w:before="60" w:after="60" w:line="360" w:lineRule="auto"/>
        <w:jc w:val="both"/>
        <w:rPr>
          <w:rFonts w:ascii="Verdana" w:hAnsi="Verdana"/>
          <w:b/>
          <w:sz w:val="20"/>
          <w:szCs w:val="20"/>
        </w:rPr>
      </w:pPr>
      <w:r w:rsidRPr="007E117D">
        <w:rPr>
          <w:rFonts w:ascii="Verdana" w:hAnsi="Verdana" w:cs="EUAlbertina"/>
          <w:iCs/>
          <w:sz w:val="20"/>
          <w:szCs w:val="20"/>
        </w:rPr>
        <w:t>N</w:t>
      </w:r>
      <w:r w:rsidR="005C7412" w:rsidRPr="007E117D">
        <w:rPr>
          <w:rFonts w:ascii="Verdana" w:hAnsi="Verdana" w:cs="EUAlbertina"/>
          <w:iCs/>
          <w:sz w:val="20"/>
          <w:szCs w:val="20"/>
        </w:rPr>
        <w:t>ie można też przy dokonywaniu wykładni pominąć artykułu 13 dyrektywy d</w:t>
      </w:r>
      <w:r w:rsidR="005C7412" w:rsidRPr="007E117D">
        <w:rPr>
          <w:rFonts w:ascii="Verdana" w:hAnsi="Verdana" w:cs="EUAlbertina"/>
          <w:iCs/>
          <w:sz w:val="20"/>
          <w:szCs w:val="20"/>
        </w:rPr>
        <w:t>o</w:t>
      </w:r>
      <w:r w:rsidR="005C7412" w:rsidRPr="007E117D">
        <w:rPr>
          <w:rFonts w:ascii="Verdana" w:hAnsi="Verdana" w:cs="EUAlbertina"/>
          <w:iCs/>
          <w:sz w:val="20"/>
          <w:szCs w:val="20"/>
        </w:rPr>
        <w:t>tycząc</w:t>
      </w:r>
      <w:r w:rsidR="002A55AA">
        <w:rPr>
          <w:rFonts w:ascii="Verdana" w:hAnsi="Verdana" w:cs="EUAlbertina"/>
          <w:iCs/>
          <w:sz w:val="20"/>
          <w:szCs w:val="20"/>
        </w:rPr>
        <w:t>ego</w:t>
      </w:r>
      <w:r w:rsidR="005C7412" w:rsidRPr="007E117D">
        <w:rPr>
          <w:rFonts w:ascii="Verdana" w:hAnsi="Verdana" w:cs="EUAlbertina"/>
          <w:iCs/>
          <w:sz w:val="20"/>
          <w:szCs w:val="20"/>
        </w:rPr>
        <w:t xml:space="preserve"> zamówień </w:t>
      </w:r>
      <w:r w:rsidR="005C7412" w:rsidRPr="007E117D">
        <w:rPr>
          <w:rFonts w:ascii="Verdana" w:hAnsi="Verdana" w:cs="EUAlbertina"/>
          <w:bCs/>
          <w:sz w:val="20"/>
          <w:szCs w:val="20"/>
        </w:rPr>
        <w:t>subsydiowanych tj</w:t>
      </w:r>
      <w:r w:rsidR="00A34EDF">
        <w:rPr>
          <w:rFonts w:ascii="Verdana" w:hAnsi="Verdana" w:cs="EUAlbertina"/>
          <w:bCs/>
          <w:sz w:val="20"/>
          <w:szCs w:val="20"/>
        </w:rPr>
        <w:t>.</w:t>
      </w:r>
      <w:r w:rsidR="005C7412" w:rsidRPr="007E117D">
        <w:rPr>
          <w:rFonts w:ascii="Verdana" w:hAnsi="Verdana" w:cs="EUAlbertina"/>
          <w:bCs/>
          <w:sz w:val="20"/>
          <w:szCs w:val="20"/>
        </w:rPr>
        <w:t xml:space="preserve"> przepisu wdrażanego w prawie kraj</w:t>
      </w:r>
      <w:r w:rsidR="005C7412" w:rsidRPr="007E117D">
        <w:rPr>
          <w:rFonts w:ascii="Verdana" w:hAnsi="Verdana" w:cs="EUAlbertina"/>
          <w:bCs/>
          <w:sz w:val="20"/>
          <w:szCs w:val="20"/>
        </w:rPr>
        <w:t>o</w:t>
      </w:r>
      <w:r w:rsidR="005C7412" w:rsidRPr="007E117D">
        <w:rPr>
          <w:rFonts w:ascii="Verdana" w:hAnsi="Verdana" w:cs="EUAlbertina"/>
          <w:bCs/>
          <w:sz w:val="20"/>
          <w:szCs w:val="20"/>
        </w:rPr>
        <w:t xml:space="preserve">wym poprzez art. 3 ust. 1 pkt 5 Pzp. </w:t>
      </w:r>
      <w:r w:rsidR="002A55AA">
        <w:rPr>
          <w:rFonts w:ascii="Verdana" w:hAnsi="Verdana" w:cs="EUAlbertina"/>
          <w:bCs/>
          <w:sz w:val="20"/>
          <w:szCs w:val="20"/>
        </w:rPr>
        <w:t>W tym przepisie o</w:t>
      </w:r>
      <w:r w:rsidR="005C7412" w:rsidRPr="007E117D">
        <w:rPr>
          <w:rFonts w:ascii="Verdana" w:hAnsi="Verdana" w:cs="EUAlbertina"/>
          <w:bCs/>
          <w:sz w:val="20"/>
          <w:szCs w:val="20"/>
        </w:rPr>
        <w:t xml:space="preserve">d Instytucji zamawiających dyrektywa wymaga by </w:t>
      </w:r>
      <w:r w:rsidR="005C7412" w:rsidRPr="007E117D">
        <w:rPr>
          <w:rFonts w:ascii="Verdana" w:hAnsi="Verdana" w:cs="EUAlbertina"/>
          <w:sz w:val="20"/>
          <w:szCs w:val="20"/>
        </w:rPr>
        <w:t>przekazując</w:t>
      </w:r>
      <w:r w:rsidR="00B9133E" w:rsidRPr="007E117D">
        <w:rPr>
          <w:rFonts w:ascii="Verdana" w:hAnsi="Verdana" w:cs="EUAlbertina"/>
          <w:sz w:val="20"/>
          <w:szCs w:val="20"/>
        </w:rPr>
        <w:t xml:space="preserve"> subsydia, </w:t>
      </w:r>
      <w:r w:rsidRPr="007E117D">
        <w:rPr>
          <w:rFonts w:ascii="Verdana" w:hAnsi="Verdana" w:cs="EUAlbertina"/>
          <w:sz w:val="20"/>
          <w:szCs w:val="20"/>
        </w:rPr>
        <w:t xml:space="preserve">(w tym na roboty w zakresie inżynierii lądowej) </w:t>
      </w:r>
      <w:r w:rsidR="00B9133E" w:rsidRPr="007E117D">
        <w:rPr>
          <w:rFonts w:ascii="Verdana" w:hAnsi="Verdana" w:cs="EUAlbertina"/>
          <w:sz w:val="20"/>
          <w:szCs w:val="20"/>
        </w:rPr>
        <w:t>zapewni</w:t>
      </w:r>
      <w:r w:rsidRPr="007E117D">
        <w:rPr>
          <w:rFonts w:ascii="Verdana" w:hAnsi="Verdana" w:cs="EUAlbertina"/>
          <w:sz w:val="20"/>
          <w:szCs w:val="20"/>
        </w:rPr>
        <w:t xml:space="preserve">ły </w:t>
      </w:r>
      <w:r w:rsidR="00B9133E" w:rsidRPr="007E117D">
        <w:rPr>
          <w:rFonts w:ascii="Verdana" w:hAnsi="Verdana" w:cs="EUAlbertina"/>
          <w:sz w:val="20"/>
          <w:szCs w:val="20"/>
        </w:rPr>
        <w:t>prz</w:t>
      </w:r>
      <w:r w:rsidR="00B9133E" w:rsidRPr="007E117D">
        <w:rPr>
          <w:rFonts w:ascii="Verdana" w:hAnsi="Verdana" w:cs="EUAlbertina"/>
          <w:sz w:val="20"/>
          <w:szCs w:val="20"/>
        </w:rPr>
        <w:t>e</w:t>
      </w:r>
      <w:r w:rsidR="00B9133E" w:rsidRPr="007E117D">
        <w:rPr>
          <w:rFonts w:ascii="Verdana" w:hAnsi="Verdana" w:cs="EUAlbertina"/>
          <w:sz w:val="20"/>
          <w:szCs w:val="20"/>
        </w:rPr>
        <w:t>strzeganie przepisów dyrektywy</w:t>
      </w:r>
      <w:r w:rsidRPr="007E117D">
        <w:rPr>
          <w:rFonts w:ascii="Verdana" w:hAnsi="Verdana" w:cs="EUAlbertina"/>
          <w:sz w:val="20"/>
          <w:szCs w:val="20"/>
        </w:rPr>
        <w:t>. Skoro więc pewna część robót z zakresu inżynierii ląd</w:t>
      </w:r>
      <w:r w:rsidRPr="007E117D">
        <w:rPr>
          <w:rFonts w:ascii="Verdana" w:hAnsi="Verdana" w:cs="EUAlbertina"/>
          <w:sz w:val="20"/>
          <w:szCs w:val="20"/>
        </w:rPr>
        <w:t>o</w:t>
      </w:r>
      <w:r w:rsidRPr="007E117D">
        <w:rPr>
          <w:rFonts w:ascii="Verdana" w:hAnsi="Verdana" w:cs="EUAlbertina"/>
          <w:sz w:val="20"/>
          <w:szCs w:val="20"/>
        </w:rPr>
        <w:t>wej (budowa publicznej sieci telekomunikacyjnej) spod stosowania dyrektyw jest wył</w:t>
      </w:r>
      <w:r w:rsidRPr="007E117D">
        <w:rPr>
          <w:rFonts w:ascii="Verdana" w:hAnsi="Verdana" w:cs="EUAlbertina"/>
          <w:sz w:val="20"/>
          <w:szCs w:val="20"/>
        </w:rPr>
        <w:t>ą</w:t>
      </w:r>
      <w:r w:rsidRPr="007E117D">
        <w:rPr>
          <w:rFonts w:ascii="Verdana" w:hAnsi="Verdana" w:cs="EUAlbertina"/>
          <w:sz w:val="20"/>
          <w:szCs w:val="20"/>
        </w:rPr>
        <w:t xml:space="preserve">czona, to instytucje </w:t>
      </w:r>
      <w:r w:rsidR="00361A0F" w:rsidRPr="007E117D">
        <w:rPr>
          <w:rFonts w:ascii="Verdana" w:hAnsi="Verdana" w:cs="EUAlbertina"/>
          <w:sz w:val="20"/>
          <w:szCs w:val="20"/>
        </w:rPr>
        <w:t>zamawiające</w:t>
      </w:r>
      <w:r w:rsidRPr="007E117D">
        <w:rPr>
          <w:rFonts w:ascii="Verdana" w:hAnsi="Verdana" w:cs="EUAlbertina"/>
          <w:sz w:val="20"/>
          <w:szCs w:val="20"/>
        </w:rPr>
        <w:t xml:space="preserve"> </w:t>
      </w:r>
      <w:r w:rsidR="00361A0F" w:rsidRPr="007E117D">
        <w:rPr>
          <w:rFonts w:ascii="Verdana" w:hAnsi="Verdana" w:cs="EUAlbertina"/>
          <w:sz w:val="20"/>
          <w:szCs w:val="20"/>
        </w:rPr>
        <w:t>zapewniając</w:t>
      </w:r>
      <w:r w:rsidRPr="007E117D">
        <w:rPr>
          <w:rFonts w:ascii="Verdana" w:hAnsi="Verdana" w:cs="EUAlbertina"/>
          <w:sz w:val="20"/>
          <w:szCs w:val="20"/>
        </w:rPr>
        <w:t xml:space="preserve"> stosowanie dyrektywy przez biorcę subs</w:t>
      </w:r>
      <w:r w:rsidRPr="007E117D">
        <w:rPr>
          <w:rFonts w:ascii="Verdana" w:hAnsi="Verdana" w:cs="EUAlbertina"/>
          <w:sz w:val="20"/>
          <w:szCs w:val="20"/>
        </w:rPr>
        <w:t>y</w:t>
      </w:r>
      <w:r w:rsidRPr="007E117D">
        <w:rPr>
          <w:rFonts w:ascii="Verdana" w:hAnsi="Verdana" w:cs="EUAlbertina"/>
          <w:sz w:val="20"/>
          <w:szCs w:val="20"/>
        </w:rPr>
        <w:t>diów nie mogą zobowiązać go do jej stosowania w zakresie szerszym niż dyrektywa st</w:t>
      </w:r>
      <w:r w:rsidRPr="007E117D">
        <w:rPr>
          <w:rFonts w:ascii="Verdana" w:hAnsi="Verdana" w:cs="EUAlbertina"/>
          <w:sz w:val="20"/>
          <w:szCs w:val="20"/>
        </w:rPr>
        <w:t>a</w:t>
      </w:r>
      <w:r w:rsidRPr="007E117D">
        <w:rPr>
          <w:rFonts w:ascii="Verdana" w:hAnsi="Verdana" w:cs="EUAlbertina"/>
          <w:sz w:val="20"/>
          <w:szCs w:val="20"/>
        </w:rPr>
        <w:t xml:space="preserve">nowi. </w:t>
      </w:r>
    </w:p>
    <w:p w:rsidR="00B9133E" w:rsidRPr="007E117D" w:rsidRDefault="00B9133E" w:rsidP="00356CCE">
      <w:pPr>
        <w:spacing w:line="360" w:lineRule="auto"/>
        <w:jc w:val="both"/>
        <w:rPr>
          <w:rFonts w:ascii="Verdana" w:hAnsi="Verdana"/>
          <w:b/>
        </w:rPr>
      </w:pPr>
    </w:p>
    <w:p w:rsidR="00DF383D" w:rsidRPr="007E117D" w:rsidRDefault="00356CCE" w:rsidP="00356CCE">
      <w:pPr>
        <w:spacing w:line="360" w:lineRule="auto"/>
        <w:jc w:val="both"/>
        <w:rPr>
          <w:rFonts w:ascii="Verdana" w:hAnsi="Verdana" w:cs="Arial"/>
        </w:rPr>
      </w:pPr>
      <w:r w:rsidRPr="007E117D">
        <w:rPr>
          <w:rFonts w:ascii="Verdana" w:hAnsi="Verdana"/>
        </w:rPr>
        <w:t>Charakter przedmiotowy wyłączenia, niezależny od rodzaju podmiotu, kt</w:t>
      </w:r>
      <w:r w:rsidRPr="007E117D">
        <w:rPr>
          <w:rFonts w:ascii="Verdana" w:hAnsi="Verdana"/>
        </w:rPr>
        <w:t>ó</w:t>
      </w:r>
      <w:r w:rsidRPr="007E117D">
        <w:rPr>
          <w:rFonts w:ascii="Verdana" w:hAnsi="Verdana"/>
        </w:rPr>
        <w:t>ry prowadzi procedurę udzielenia zamówienia i zawiera umowę o zamówienie, potwierdza piśmienni</w:t>
      </w:r>
      <w:r w:rsidRPr="007E117D">
        <w:rPr>
          <w:rFonts w:ascii="Verdana" w:hAnsi="Verdana"/>
        </w:rPr>
        <w:t>c</w:t>
      </w:r>
      <w:r w:rsidRPr="007E117D">
        <w:rPr>
          <w:rFonts w:ascii="Verdana" w:hAnsi="Verdana"/>
        </w:rPr>
        <w:t>two.  Aleksandra Sołtysińska, Hanna Talago-Sławoj w Europejskie prawo zamówień p</w:t>
      </w:r>
      <w:r w:rsidRPr="007E117D">
        <w:rPr>
          <w:rFonts w:ascii="Verdana" w:hAnsi="Verdana"/>
        </w:rPr>
        <w:t>u</w:t>
      </w:r>
      <w:r w:rsidRPr="007E117D">
        <w:rPr>
          <w:rFonts w:ascii="Verdana" w:hAnsi="Verdana"/>
        </w:rPr>
        <w:t>blicznych. Kome</w:t>
      </w:r>
      <w:r w:rsidRPr="007E117D">
        <w:rPr>
          <w:rFonts w:ascii="Verdana" w:hAnsi="Verdana"/>
        </w:rPr>
        <w:t>n</w:t>
      </w:r>
      <w:r w:rsidRPr="007E117D">
        <w:rPr>
          <w:rFonts w:ascii="Verdana" w:hAnsi="Verdana"/>
        </w:rPr>
        <w:t xml:space="preserve">tarz, wyd. III wskazują iż </w:t>
      </w:r>
      <w:r w:rsidRPr="007E117D">
        <w:rPr>
          <w:rFonts w:ascii="Verdana" w:hAnsi="Verdana"/>
          <w:i/>
        </w:rPr>
        <w:t xml:space="preserve">zakres wyłączenia. Wyłączenie ze stosowania dyrektywy 2014/24/UE zawarte w jej </w:t>
      </w:r>
      <w:bookmarkStart w:id="8" w:name="#hiperlinkText.rpc?hiperlink=type=tresc:"/>
      <w:r w:rsidRPr="007E117D">
        <w:rPr>
          <w:rFonts w:ascii="Verdana" w:hAnsi="Verdana"/>
          <w:i/>
        </w:rPr>
        <w:t>art. 8</w:t>
      </w:r>
      <w:bookmarkEnd w:id="8"/>
      <w:r w:rsidRPr="007E117D">
        <w:rPr>
          <w:rFonts w:ascii="Verdana" w:hAnsi="Verdana"/>
          <w:i/>
        </w:rPr>
        <w:t xml:space="preserve"> jest wyłączeniem przedmiotowym i dot</w:t>
      </w:r>
      <w:r w:rsidRPr="007E117D">
        <w:rPr>
          <w:rFonts w:ascii="Verdana" w:hAnsi="Verdana"/>
          <w:i/>
        </w:rPr>
        <w:t>y</w:t>
      </w:r>
      <w:r w:rsidRPr="007E117D">
        <w:rPr>
          <w:rFonts w:ascii="Verdana" w:hAnsi="Verdana"/>
          <w:i/>
        </w:rPr>
        <w:t>czy takich zamówień i konkursów, których głównym celem jest umożliwi</w:t>
      </w:r>
      <w:r w:rsidRPr="007E117D">
        <w:rPr>
          <w:rFonts w:ascii="Verdana" w:hAnsi="Verdana"/>
          <w:i/>
        </w:rPr>
        <w:t>e</w:t>
      </w:r>
      <w:r w:rsidRPr="007E117D">
        <w:rPr>
          <w:rFonts w:ascii="Verdana" w:hAnsi="Verdana"/>
          <w:i/>
        </w:rPr>
        <w:t>nie zamawiającym świadczenia usług łączności elektronicznej, w tym publicznie dostępnych, lub też ud</w:t>
      </w:r>
      <w:r w:rsidRPr="007E117D">
        <w:rPr>
          <w:rFonts w:ascii="Verdana" w:hAnsi="Verdana"/>
          <w:i/>
        </w:rPr>
        <w:t>o</w:t>
      </w:r>
      <w:r w:rsidRPr="007E117D">
        <w:rPr>
          <w:rFonts w:ascii="Verdana" w:hAnsi="Verdana"/>
          <w:i/>
        </w:rPr>
        <w:t>stępnienie zamawiającym publicznych sieci łączności, dzięki którym będą mogły być świadczone publicznie dostępne usługi łączności elektronicznej. Należy stwierdzić, że c</w:t>
      </w:r>
      <w:r w:rsidRPr="007E117D">
        <w:rPr>
          <w:rFonts w:ascii="Verdana" w:hAnsi="Verdana"/>
          <w:i/>
        </w:rPr>
        <w:t>e</w:t>
      </w:r>
      <w:r w:rsidRPr="007E117D">
        <w:rPr>
          <w:rFonts w:ascii="Verdana" w:hAnsi="Verdana"/>
          <w:i/>
        </w:rPr>
        <w:t>lem przedmiotowego wyłączenia było uproszczenie i uelastyc</w:t>
      </w:r>
      <w:r w:rsidRPr="007E117D">
        <w:rPr>
          <w:rFonts w:ascii="Verdana" w:hAnsi="Verdana"/>
          <w:i/>
        </w:rPr>
        <w:t>z</w:t>
      </w:r>
      <w:r w:rsidRPr="007E117D">
        <w:rPr>
          <w:rFonts w:ascii="Verdana" w:hAnsi="Verdana"/>
          <w:i/>
        </w:rPr>
        <w:t>nienie procesu realizacji zamówień w powyższym zakresie, tak aby dostęp do publicznych sieci łączności, jak ró</w:t>
      </w:r>
      <w:r w:rsidRPr="007E117D">
        <w:rPr>
          <w:rFonts w:ascii="Verdana" w:hAnsi="Verdana"/>
          <w:i/>
        </w:rPr>
        <w:t>w</w:t>
      </w:r>
      <w:r w:rsidRPr="007E117D">
        <w:rPr>
          <w:rFonts w:ascii="Verdana" w:hAnsi="Verdana"/>
          <w:i/>
        </w:rPr>
        <w:t>nież do usług świadczonych za pośrednictwem tych sieci, był możliwy dla szerokiego kr</w:t>
      </w:r>
      <w:r w:rsidRPr="007E117D">
        <w:rPr>
          <w:rFonts w:ascii="Verdana" w:hAnsi="Verdana"/>
          <w:i/>
        </w:rPr>
        <w:t>ę</w:t>
      </w:r>
      <w:r w:rsidRPr="007E117D">
        <w:rPr>
          <w:rFonts w:ascii="Verdana" w:hAnsi="Verdana"/>
          <w:i/>
        </w:rPr>
        <w:t>gu odbiorców.</w:t>
      </w:r>
      <w:r w:rsidRPr="007E117D">
        <w:rPr>
          <w:rFonts w:ascii="Verdana" w:hAnsi="Verdana"/>
        </w:rPr>
        <w:t xml:space="preserve"> Pogląd ten, podobnie jak p</w:t>
      </w:r>
      <w:r w:rsidRPr="007E117D">
        <w:rPr>
          <w:rFonts w:ascii="Verdana" w:hAnsi="Verdana"/>
        </w:rPr>
        <w:t>o</w:t>
      </w:r>
      <w:r w:rsidRPr="007E117D">
        <w:rPr>
          <w:rFonts w:ascii="Verdana" w:hAnsi="Verdana"/>
        </w:rPr>
        <w:t>gląd autora niniejszej opinii wskazuje, że nie ma znaczenia kto jest zamawiającym i literalna w</w:t>
      </w:r>
      <w:r w:rsidRPr="007E117D">
        <w:rPr>
          <w:rFonts w:ascii="Verdana" w:hAnsi="Verdana"/>
        </w:rPr>
        <w:t>y</w:t>
      </w:r>
      <w:r w:rsidRPr="007E117D">
        <w:rPr>
          <w:rFonts w:ascii="Verdana" w:hAnsi="Verdana"/>
        </w:rPr>
        <w:t xml:space="preserve">kładnia art. 4 pkt 10 Pzp nie powinna się ostać. Wskazuje na to też </w:t>
      </w:r>
      <w:r w:rsidR="00B67ED0" w:rsidRPr="007E117D">
        <w:rPr>
          <w:rFonts w:ascii="Verdana" w:hAnsi="Verdana" w:cs="Arial"/>
        </w:rPr>
        <w:t>niekwestionowana linia orzecznicza Trybunału Sprawiedl</w:t>
      </w:r>
      <w:r w:rsidR="00B67ED0" w:rsidRPr="007E117D">
        <w:rPr>
          <w:rFonts w:ascii="Verdana" w:hAnsi="Verdana" w:cs="Arial"/>
        </w:rPr>
        <w:t>i</w:t>
      </w:r>
      <w:r w:rsidR="00B67ED0" w:rsidRPr="007E117D">
        <w:rPr>
          <w:rFonts w:ascii="Verdana" w:hAnsi="Verdana" w:cs="Arial"/>
        </w:rPr>
        <w:t>wości UE</w:t>
      </w:r>
      <w:r w:rsidR="00361A0F">
        <w:rPr>
          <w:rFonts w:ascii="Verdana" w:hAnsi="Verdana" w:cs="Arial"/>
        </w:rPr>
        <w:t>.</w:t>
      </w:r>
      <w:r w:rsidR="00B67ED0" w:rsidRPr="007E117D">
        <w:rPr>
          <w:rFonts w:ascii="Verdana" w:hAnsi="Verdana" w:cs="Arial"/>
        </w:rPr>
        <w:t xml:space="preserve"> </w:t>
      </w:r>
      <w:r w:rsidRPr="007E117D">
        <w:rPr>
          <w:rFonts w:ascii="Verdana" w:hAnsi="Verdana" w:cs="Arial"/>
        </w:rPr>
        <w:t>R</w:t>
      </w:r>
      <w:r w:rsidR="00B67ED0" w:rsidRPr="007E117D">
        <w:rPr>
          <w:rFonts w:ascii="Verdana" w:hAnsi="Verdana" w:cs="Arial"/>
        </w:rPr>
        <w:t xml:space="preserve">espektując pogląd TSUE </w:t>
      </w:r>
      <w:r w:rsidRPr="007E117D">
        <w:rPr>
          <w:rFonts w:ascii="Verdana" w:hAnsi="Verdana" w:cs="Arial"/>
        </w:rPr>
        <w:t xml:space="preserve"> - </w:t>
      </w:r>
      <w:r w:rsidR="00B67ED0" w:rsidRPr="007E117D">
        <w:rPr>
          <w:rFonts w:ascii="Verdana" w:hAnsi="Verdana" w:cs="Arial"/>
        </w:rPr>
        <w:t>o ile istnieją wątpliwości co do zgodności normy kr</w:t>
      </w:r>
      <w:r w:rsidR="00B67ED0" w:rsidRPr="007E117D">
        <w:rPr>
          <w:rFonts w:ascii="Verdana" w:hAnsi="Verdana" w:cs="Arial"/>
        </w:rPr>
        <w:t>a</w:t>
      </w:r>
      <w:r w:rsidR="00B67ED0" w:rsidRPr="007E117D">
        <w:rPr>
          <w:rFonts w:ascii="Verdana" w:hAnsi="Verdana" w:cs="Arial"/>
        </w:rPr>
        <w:t>jowej z prawem UE, zgodnie z zasadą prowspólnotowej interpretacji prawa krajowego (pośredniego stosowania prawa wspólnotowego) przepisy prawa kraj</w:t>
      </w:r>
      <w:r w:rsidR="00B67ED0" w:rsidRPr="007E117D">
        <w:rPr>
          <w:rFonts w:ascii="Verdana" w:hAnsi="Verdana" w:cs="Arial"/>
        </w:rPr>
        <w:t>o</w:t>
      </w:r>
      <w:r w:rsidR="00B67ED0" w:rsidRPr="007E117D">
        <w:rPr>
          <w:rFonts w:ascii="Verdana" w:hAnsi="Verdana" w:cs="Arial"/>
        </w:rPr>
        <w:t>wego winny być interpretowane zgodnie z dyrektywą. Trybunał odwołując  się do artykułu 10 TWE i wyr</w:t>
      </w:r>
      <w:r w:rsidR="00B67ED0" w:rsidRPr="007E117D">
        <w:rPr>
          <w:rFonts w:ascii="Verdana" w:hAnsi="Verdana" w:cs="Arial"/>
        </w:rPr>
        <w:t>a</w:t>
      </w:r>
      <w:r w:rsidR="00B67ED0" w:rsidRPr="007E117D">
        <w:rPr>
          <w:rFonts w:ascii="Verdana" w:hAnsi="Verdana" w:cs="Arial"/>
        </w:rPr>
        <w:t>żonej tam zasady lojalności, a więc obowiązku podjęcia przez państwo wszelkich właśc</w:t>
      </w:r>
      <w:r w:rsidR="00B67ED0" w:rsidRPr="007E117D">
        <w:rPr>
          <w:rFonts w:ascii="Verdana" w:hAnsi="Verdana" w:cs="Arial"/>
        </w:rPr>
        <w:t>i</w:t>
      </w:r>
      <w:r w:rsidR="00B67ED0" w:rsidRPr="007E117D">
        <w:rPr>
          <w:rFonts w:ascii="Verdana" w:hAnsi="Verdana" w:cs="Arial"/>
        </w:rPr>
        <w:t>wych i koniecznych środków do zapewnienia prawu wspólnotowemu skuteczności wsk</w:t>
      </w:r>
      <w:r w:rsidR="00B67ED0" w:rsidRPr="007E117D">
        <w:rPr>
          <w:rFonts w:ascii="Verdana" w:hAnsi="Verdana" w:cs="Arial"/>
        </w:rPr>
        <w:t>a</w:t>
      </w:r>
      <w:r w:rsidR="00B67ED0" w:rsidRPr="007E117D">
        <w:rPr>
          <w:rFonts w:ascii="Verdana" w:hAnsi="Verdana" w:cs="Arial"/>
        </w:rPr>
        <w:t>zał, iż obowiązek ten ma zastosowanie do wszelkich władz, wliczając w to sądy, kt</w:t>
      </w:r>
      <w:r w:rsidR="00B67ED0" w:rsidRPr="007E117D">
        <w:rPr>
          <w:rFonts w:ascii="Verdana" w:hAnsi="Verdana" w:cs="Arial"/>
        </w:rPr>
        <w:t>ó</w:t>
      </w:r>
      <w:r w:rsidR="00B67ED0" w:rsidRPr="007E117D">
        <w:rPr>
          <w:rFonts w:ascii="Verdana" w:hAnsi="Verdana" w:cs="Arial"/>
        </w:rPr>
        <w:t>re powinny dokonywać interpretacji prawa krajowego w taki sposób, by zapewnić osiągni</w:t>
      </w:r>
      <w:r w:rsidR="00B67ED0" w:rsidRPr="007E117D">
        <w:rPr>
          <w:rFonts w:ascii="Verdana" w:hAnsi="Verdana" w:cs="Arial"/>
        </w:rPr>
        <w:t>ę</w:t>
      </w:r>
      <w:r w:rsidR="00B67ED0" w:rsidRPr="007E117D">
        <w:rPr>
          <w:rFonts w:ascii="Verdana" w:hAnsi="Verdana" w:cs="Arial"/>
        </w:rPr>
        <w:t xml:space="preserve">cie celów dyrektywy. W sprawie C - 334/92 Wagner </w:t>
      </w:r>
      <w:proofErr w:type="spellStart"/>
      <w:r w:rsidR="00B67ED0" w:rsidRPr="007E117D">
        <w:rPr>
          <w:rFonts w:ascii="Verdana" w:hAnsi="Verdana" w:cs="Arial"/>
        </w:rPr>
        <w:t>Miret</w:t>
      </w:r>
      <w:proofErr w:type="spellEnd"/>
      <w:r w:rsidR="00B67ED0" w:rsidRPr="007E117D">
        <w:rPr>
          <w:rFonts w:ascii="Verdana" w:hAnsi="Verdana" w:cs="Arial"/>
        </w:rPr>
        <w:t xml:space="preserve"> przeciw Fondo de Garantia </w:t>
      </w:r>
      <w:proofErr w:type="spellStart"/>
      <w:r w:rsidR="00B67ED0" w:rsidRPr="007E117D">
        <w:rPr>
          <w:rFonts w:ascii="Verdana" w:hAnsi="Verdana" w:cs="Arial"/>
        </w:rPr>
        <w:t>S</w:t>
      </w:r>
      <w:r w:rsidR="00B67ED0" w:rsidRPr="007E117D">
        <w:rPr>
          <w:rFonts w:ascii="Verdana" w:hAnsi="Verdana" w:cs="Arial"/>
        </w:rPr>
        <w:t>a</w:t>
      </w:r>
      <w:r w:rsidR="00B67ED0" w:rsidRPr="007E117D">
        <w:rPr>
          <w:rFonts w:ascii="Verdana" w:hAnsi="Verdana" w:cs="Arial"/>
        </w:rPr>
        <w:t>larial</w:t>
      </w:r>
      <w:proofErr w:type="spellEnd"/>
      <w:r w:rsidR="00B67ED0" w:rsidRPr="007E117D">
        <w:rPr>
          <w:rFonts w:ascii="Verdana" w:hAnsi="Verdana" w:cs="Arial"/>
        </w:rPr>
        <w:t xml:space="preserve"> TSUE</w:t>
      </w:r>
      <w:r w:rsidR="000E6786">
        <w:rPr>
          <w:rFonts w:ascii="Verdana" w:hAnsi="Verdana" w:cs="Arial"/>
        </w:rPr>
        <w:t xml:space="preserve"> nie</w:t>
      </w:r>
      <w:r w:rsidR="00B67ED0" w:rsidRPr="007E117D">
        <w:rPr>
          <w:rFonts w:ascii="Verdana" w:hAnsi="Verdana" w:cs="Arial"/>
        </w:rPr>
        <w:t xml:space="preserve"> stanął na stanowisku, że interpretując prawo krajowe organ krajowy pow</w:t>
      </w:r>
      <w:r w:rsidR="00B67ED0" w:rsidRPr="007E117D">
        <w:rPr>
          <w:rFonts w:ascii="Verdana" w:hAnsi="Verdana" w:cs="Arial"/>
        </w:rPr>
        <w:t>i</w:t>
      </w:r>
      <w:r w:rsidR="00B67ED0" w:rsidRPr="007E117D">
        <w:rPr>
          <w:rFonts w:ascii="Verdana" w:hAnsi="Verdana" w:cs="Arial"/>
        </w:rPr>
        <w:t>nien zakładać, że Państwo Członkowskie miało zamiar zapewnienia zgodności z pr</w:t>
      </w:r>
      <w:r w:rsidR="00B67ED0" w:rsidRPr="007E117D">
        <w:rPr>
          <w:rFonts w:ascii="Verdana" w:hAnsi="Verdana" w:cs="Arial"/>
        </w:rPr>
        <w:t>a</w:t>
      </w:r>
      <w:r w:rsidR="00B67ED0" w:rsidRPr="007E117D">
        <w:rPr>
          <w:rFonts w:ascii="Verdana" w:hAnsi="Verdana" w:cs="Arial"/>
        </w:rPr>
        <w:t>wem wspólnotowym</w:t>
      </w:r>
      <w:r w:rsidR="00B67ED0" w:rsidRPr="007E117D">
        <w:rPr>
          <w:rStyle w:val="Odwoanieprzypisudolnego"/>
          <w:rFonts w:ascii="Verdana" w:hAnsi="Verdana" w:cs="Arial"/>
        </w:rPr>
        <w:footnoteReference w:id="1"/>
      </w:r>
      <w:r w:rsidR="00A34EDF">
        <w:rPr>
          <w:rFonts w:ascii="Verdana" w:hAnsi="Verdana" w:cs="Arial"/>
        </w:rPr>
        <w:t>.</w:t>
      </w:r>
      <w:r w:rsidR="00B67ED0" w:rsidRPr="007E117D">
        <w:rPr>
          <w:rFonts w:ascii="Verdana" w:hAnsi="Verdana" w:cs="Arial"/>
        </w:rPr>
        <w:t xml:space="preserve"> </w:t>
      </w:r>
    </w:p>
    <w:p w:rsidR="00DF383D" w:rsidRPr="007E117D" w:rsidRDefault="00DF383D" w:rsidP="00356CCE">
      <w:pPr>
        <w:spacing w:line="360" w:lineRule="auto"/>
        <w:jc w:val="both"/>
        <w:rPr>
          <w:rFonts w:ascii="Verdana" w:hAnsi="Verdana" w:cs="Arial"/>
        </w:rPr>
      </w:pPr>
    </w:p>
    <w:p w:rsidR="00DF383D" w:rsidRPr="007E117D" w:rsidRDefault="00DF383D" w:rsidP="00DF383D">
      <w:pPr>
        <w:spacing w:line="360" w:lineRule="auto"/>
        <w:jc w:val="both"/>
        <w:rPr>
          <w:rFonts w:ascii="Verdana" w:hAnsi="Verdana" w:cs="Arial"/>
        </w:rPr>
      </w:pPr>
      <w:r w:rsidRPr="007E117D">
        <w:rPr>
          <w:rFonts w:ascii="Verdana" w:hAnsi="Verdana" w:cs="Arial"/>
        </w:rPr>
        <w:t>Definiując rozumienie pojęcia prowspólnotowej wykładni prawa, Trybunał w kolejnej ze spraw podniósł, że każdy organ państwowy stosując prawo krajowe, niezależnie czy dane przepisy zostały przyjęte przed czy po wejściu w życie dyrektywy, zobowiązany jest i</w:t>
      </w:r>
      <w:r w:rsidRPr="007E117D">
        <w:rPr>
          <w:rFonts w:ascii="Verdana" w:hAnsi="Verdana" w:cs="Arial"/>
        </w:rPr>
        <w:t>n</w:t>
      </w:r>
      <w:r w:rsidRPr="007E117D">
        <w:rPr>
          <w:rFonts w:ascii="Verdana" w:hAnsi="Verdana" w:cs="Arial"/>
        </w:rPr>
        <w:t>terpretować własne prawo w największym możliwym stopniu, w świetle treści i celu d</w:t>
      </w:r>
      <w:r w:rsidRPr="007E117D">
        <w:rPr>
          <w:rFonts w:ascii="Verdana" w:hAnsi="Verdana" w:cs="Arial"/>
        </w:rPr>
        <w:t>y</w:t>
      </w:r>
      <w:r w:rsidRPr="007E117D">
        <w:rPr>
          <w:rFonts w:ascii="Verdana" w:hAnsi="Verdana" w:cs="Arial"/>
        </w:rPr>
        <w:t>rektywy, dla osiągnięcia jej rezultatu i przez to uzyskania zgodności z art. 249 akapit trzeci TWE</w:t>
      </w:r>
      <w:r w:rsidRPr="007E117D">
        <w:rPr>
          <w:rStyle w:val="Odwoanieprzypisudolnego"/>
          <w:rFonts w:ascii="Verdana" w:hAnsi="Verdana" w:cs="Arial"/>
        </w:rPr>
        <w:footnoteReference w:id="2"/>
      </w:r>
      <w:r w:rsidRPr="007E117D">
        <w:rPr>
          <w:rFonts w:ascii="Verdana" w:hAnsi="Verdana" w:cs="Arial"/>
        </w:rPr>
        <w:t xml:space="preserve"> (obecnie art. 288 TFUE). </w:t>
      </w:r>
      <w:r w:rsidR="007E117D" w:rsidRPr="007E117D">
        <w:rPr>
          <w:rFonts w:ascii="Verdana" w:hAnsi="Verdana" w:cs="Arial"/>
        </w:rPr>
        <w:t xml:space="preserve">Cel przepisu – uproszczenie realizacji zamówień zmierzających do rozpowszechnienia korzystania z sieci telekomunikacyjnych nie zostanie osiągnięty poprzez wykładnie </w:t>
      </w:r>
      <w:r w:rsidR="00A34EDF" w:rsidRPr="007E117D">
        <w:rPr>
          <w:rFonts w:ascii="Verdana" w:hAnsi="Verdana" w:cs="Arial"/>
        </w:rPr>
        <w:t>zobowiązującą</w:t>
      </w:r>
      <w:r w:rsidR="007E117D" w:rsidRPr="007E117D">
        <w:rPr>
          <w:rFonts w:ascii="Verdana" w:hAnsi="Verdana" w:cs="Arial"/>
        </w:rPr>
        <w:t xml:space="preserve"> podmioty prywatne do stosowania procedur udzielania zamówień szerzej niż prawo UE to nakazuje. Warto wspomnieć, że </w:t>
      </w:r>
      <w:r w:rsidRPr="007E117D">
        <w:rPr>
          <w:rFonts w:ascii="Verdana" w:hAnsi="Verdana" w:cs="Arial"/>
        </w:rPr>
        <w:t xml:space="preserve">Trybunał </w:t>
      </w:r>
      <w:r w:rsidR="007E117D" w:rsidRPr="007E117D">
        <w:rPr>
          <w:rFonts w:ascii="Verdana" w:hAnsi="Verdana" w:cs="Arial"/>
        </w:rPr>
        <w:t xml:space="preserve">posunął się dalej niż do zwrócenia uwagi na obowiązek wykładni prowspólnotowej i </w:t>
      </w:r>
      <w:r w:rsidRPr="007E117D">
        <w:rPr>
          <w:rFonts w:ascii="Verdana" w:hAnsi="Verdana" w:cs="Arial"/>
        </w:rPr>
        <w:t>uznał, że jeśli zastosowanie prawa krajowego w zgodzie ze wskazanymi zasadami nie jest mo</w:t>
      </w:r>
      <w:r w:rsidRPr="007E117D">
        <w:rPr>
          <w:rFonts w:ascii="Verdana" w:hAnsi="Verdana" w:cs="Arial"/>
        </w:rPr>
        <w:t>ż</w:t>
      </w:r>
      <w:r w:rsidRPr="007E117D">
        <w:rPr>
          <w:rFonts w:ascii="Verdana" w:hAnsi="Verdana" w:cs="Arial"/>
        </w:rPr>
        <w:t>liwe, organy władzy państwa członkowskiego są zobowiązane do stosowania wprost pr</w:t>
      </w:r>
      <w:r w:rsidRPr="007E117D">
        <w:rPr>
          <w:rFonts w:ascii="Verdana" w:hAnsi="Verdana" w:cs="Arial"/>
        </w:rPr>
        <w:t>a</w:t>
      </w:r>
      <w:r w:rsidRPr="007E117D">
        <w:rPr>
          <w:rFonts w:ascii="Verdana" w:hAnsi="Verdana" w:cs="Arial"/>
        </w:rPr>
        <w:t>wa wspólnotowego i ochrony praw, które przyznaje ono jednostce. W sytuacji, gdy zast</w:t>
      </w:r>
      <w:r w:rsidRPr="007E117D">
        <w:rPr>
          <w:rFonts w:ascii="Verdana" w:hAnsi="Verdana" w:cs="Arial"/>
        </w:rPr>
        <w:t>o</w:t>
      </w:r>
      <w:r w:rsidRPr="007E117D">
        <w:rPr>
          <w:rFonts w:ascii="Verdana" w:hAnsi="Verdana" w:cs="Arial"/>
        </w:rPr>
        <w:t>sowanie prawa kr</w:t>
      </w:r>
      <w:r w:rsidRPr="007E117D">
        <w:rPr>
          <w:rFonts w:ascii="Verdana" w:hAnsi="Verdana" w:cs="Arial"/>
        </w:rPr>
        <w:t>a</w:t>
      </w:r>
      <w:r w:rsidRPr="007E117D">
        <w:rPr>
          <w:rFonts w:ascii="Verdana" w:hAnsi="Verdana" w:cs="Arial"/>
        </w:rPr>
        <w:t>jowego w danej sytuacji byłoby sprzeczne z prawem wspólnotowym nie należy stosować przepisów prawa krajowego</w:t>
      </w:r>
      <w:r w:rsidR="007E117D" w:rsidRPr="007E117D">
        <w:rPr>
          <w:rFonts w:ascii="Verdana" w:hAnsi="Verdana" w:cs="Arial"/>
        </w:rPr>
        <w:t>. Beneficjent POPC, który uzyskawszy współfinansowanie nie zastosowałby przepisu krajowego mógłby więc powoływać się n</w:t>
      </w:r>
      <w:r w:rsidR="007E117D" w:rsidRPr="007E117D">
        <w:rPr>
          <w:rFonts w:ascii="Verdana" w:hAnsi="Verdana" w:cs="Arial"/>
        </w:rPr>
        <w:t>a</w:t>
      </w:r>
      <w:r w:rsidR="007E117D" w:rsidRPr="007E117D">
        <w:rPr>
          <w:rFonts w:ascii="Verdana" w:hAnsi="Verdana" w:cs="Arial"/>
        </w:rPr>
        <w:t xml:space="preserve">stępnie wprost na </w:t>
      </w:r>
      <w:r w:rsidR="00A34EDF" w:rsidRPr="007E117D">
        <w:rPr>
          <w:rFonts w:ascii="Verdana" w:hAnsi="Verdana" w:cs="Arial"/>
        </w:rPr>
        <w:t>przepis</w:t>
      </w:r>
      <w:r w:rsidR="007E117D" w:rsidRPr="007E117D">
        <w:rPr>
          <w:rFonts w:ascii="Verdana" w:hAnsi="Verdana" w:cs="Arial"/>
        </w:rPr>
        <w:t xml:space="preserve"> prawa UE. </w:t>
      </w:r>
    </w:p>
    <w:p w:rsidR="00361A0F" w:rsidRDefault="00361A0F" w:rsidP="00356CCE">
      <w:pPr>
        <w:spacing w:line="360" w:lineRule="auto"/>
        <w:jc w:val="both"/>
        <w:rPr>
          <w:rFonts w:ascii="Verdana" w:hAnsi="Verdana" w:cs="Arial"/>
        </w:rPr>
      </w:pPr>
    </w:p>
    <w:p w:rsidR="00B67ED0" w:rsidRPr="007E117D" w:rsidRDefault="007E117D" w:rsidP="00356CCE">
      <w:pPr>
        <w:spacing w:line="360" w:lineRule="auto"/>
        <w:jc w:val="both"/>
        <w:rPr>
          <w:rFonts w:ascii="Verdana" w:hAnsi="Verdana" w:cs="Arial"/>
        </w:rPr>
      </w:pPr>
      <w:r w:rsidRPr="007E117D">
        <w:rPr>
          <w:rFonts w:ascii="Verdana" w:hAnsi="Verdana" w:cs="Arial"/>
        </w:rPr>
        <w:t>Ponieważ w</w:t>
      </w:r>
      <w:r w:rsidR="00B67ED0" w:rsidRPr="007E117D">
        <w:rPr>
          <w:rFonts w:ascii="Verdana" w:hAnsi="Verdana" w:cs="Georgia"/>
        </w:rPr>
        <w:t xml:space="preserve"> doktrynie, panuje zgodny pogląd, że wykładnia prawa krajow</w:t>
      </w:r>
      <w:r w:rsidR="00B67ED0" w:rsidRPr="007E117D">
        <w:rPr>
          <w:rFonts w:ascii="Verdana" w:hAnsi="Verdana" w:cs="Georgia"/>
        </w:rPr>
        <w:t>e</w:t>
      </w:r>
      <w:r w:rsidR="00B67ED0" w:rsidRPr="007E117D">
        <w:rPr>
          <w:rFonts w:ascii="Verdana" w:hAnsi="Verdana" w:cs="Georgia"/>
        </w:rPr>
        <w:t>go w zgodzie z prawem Unii Europejskiej z zasady powinna się zaczynać  i co do zasady kończyć na p</w:t>
      </w:r>
      <w:r w:rsidR="00B67ED0" w:rsidRPr="007E117D">
        <w:rPr>
          <w:rFonts w:ascii="Verdana" w:hAnsi="Verdana" w:cs="Georgia"/>
        </w:rPr>
        <w:t>o</w:t>
      </w:r>
      <w:r w:rsidR="00B67ED0" w:rsidRPr="007E117D">
        <w:rPr>
          <w:rFonts w:ascii="Verdana" w:hAnsi="Verdana" w:cs="Georgia"/>
        </w:rPr>
        <w:t>ziomie krajowym</w:t>
      </w:r>
      <w:r w:rsidR="00B67ED0" w:rsidRPr="007E117D">
        <w:rPr>
          <w:rStyle w:val="Odwoanieprzypisudolnego"/>
          <w:rFonts w:ascii="Verdana" w:hAnsi="Verdana" w:cs="Georgia"/>
        </w:rPr>
        <w:footnoteReference w:id="3"/>
      </w:r>
      <w:r w:rsidR="00A34EDF">
        <w:rPr>
          <w:rFonts w:ascii="Verdana" w:hAnsi="Verdana" w:cs="Georgia"/>
        </w:rPr>
        <w:t>,</w:t>
      </w:r>
      <w:r w:rsidR="00B67ED0" w:rsidRPr="007E117D">
        <w:rPr>
          <w:rFonts w:ascii="Verdana" w:hAnsi="Verdana" w:cs="Georgia"/>
        </w:rPr>
        <w:t xml:space="preserve"> </w:t>
      </w:r>
      <w:r w:rsidRPr="007E117D">
        <w:rPr>
          <w:rFonts w:ascii="Verdana" w:hAnsi="Verdana" w:cs="Georgia"/>
        </w:rPr>
        <w:t>t</w:t>
      </w:r>
      <w:r w:rsidR="00356CCE" w:rsidRPr="007E117D">
        <w:rPr>
          <w:rFonts w:ascii="Verdana" w:hAnsi="Verdana" w:cs="Georgia"/>
        </w:rPr>
        <w:t>o krajowe s</w:t>
      </w:r>
      <w:r w:rsidR="00B67ED0" w:rsidRPr="007E117D">
        <w:rPr>
          <w:rFonts w:ascii="Verdana" w:hAnsi="Verdana" w:cs="Georgia"/>
        </w:rPr>
        <w:t>ądy, organy administracji i osoby stosujące prawo wi</w:t>
      </w:r>
      <w:r w:rsidR="00B67ED0" w:rsidRPr="007E117D">
        <w:rPr>
          <w:rFonts w:ascii="Verdana" w:hAnsi="Verdana" w:cs="Georgia"/>
        </w:rPr>
        <w:t>n</w:t>
      </w:r>
      <w:r w:rsidR="00B67ED0" w:rsidRPr="007E117D">
        <w:rPr>
          <w:rFonts w:ascii="Verdana" w:hAnsi="Verdana" w:cs="Georgia"/>
        </w:rPr>
        <w:t>ny w świ</w:t>
      </w:r>
      <w:r w:rsidR="00B67ED0" w:rsidRPr="007E117D">
        <w:rPr>
          <w:rFonts w:ascii="Verdana" w:hAnsi="Verdana" w:cs="Georgia"/>
        </w:rPr>
        <w:t>e</w:t>
      </w:r>
      <w:r w:rsidR="00B67ED0" w:rsidRPr="007E117D">
        <w:rPr>
          <w:rFonts w:ascii="Verdana" w:hAnsi="Verdana" w:cs="Georgia"/>
        </w:rPr>
        <w:t>tle tej wykładni interpretować prawo krajowe i podejmować decyzje o sposobie jego st</w:t>
      </w:r>
      <w:r w:rsidR="00B67ED0" w:rsidRPr="007E117D">
        <w:rPr>
          <w:rFonts w:ascii="Verdana" w:hAnsi="Verdana" w:cs="Georgia"/>
        </w:rPr>
        <w:t>o</w:t>
      </w:r>
      <w:r w:rsidR="00B67ED0" w:rsidRPr="007E117D">
        <w:rPr>
          <w:rFonts w:ascii="Verdana" w:hAnsi="Verdana" w:cs="Georgia"/>
        </w:rPr>
        <w:t xml:space="preserve">sowania. </w:t>
      </w:r>
      <w:r w:rsidR="00356CCE" w:rsidRPr="007E117D">
        <w:rPr>
          <w:rFonts w:ascii="Verdana" w:hAnsi="Verdana" w:cs="Georgia"/>
        </w:rPr>
        <w:t xml:space="preserve">Nie jest więc z tego obowiązku zwolniona także Instytucja </w:t>
      </w:r>
      <w:r w:rsidR="00A34EDF">
        <w:rPr>
          <w:rFonts w:ascii="Verdana" w:hAnsi="Verdana" w:cs="Georgia"/>
        </w:rPr>
        <w:t>Pośrednicząca</w:t>
      </w:r>
      <w:r w:rsidR="00A34EDF" w:rsidRPr="007E117D">
        <w:rPr>
          <w:rFonts w:ascii="Verdana" w:hAnsi="Verdana" w:cs="Georgia"/>
        </w:rPr>
        <w:t xml:space="preserve"> </w:t>
      </w:r>
      <w:r w:rsidR="00356CCE" w:rsidRPr="007E117D">
        <w:rPr>
          <w:rFonts w:ascii="Verdana" w:hAnsi="Verdana" w:cs="Georgia"/>
        </w:rPr>
        <w:t>podczas oceny wydatków beneficjentów POPC działanie</w:t>
      </w:r>
      <w:r w:rsidRPr="007E117D">
        <w:rPr>
          <w:rFonts w:ascii="Verdana" w:hAnsi="Verdana" w:cs="Georgia"/>
        </w:rPr>
        <w:t xml:space="preserve"> 1.1,</w:t>
      </w:r>
      <w:r w:rsidR="00356CCE" w:rsidRPr="007E117D">
        <w:rPr>
          <w:rFonts w:ascii="Verdana" w:hAnsi="Verdana" w:cs="Georgia"/>
        </w:rPr>
        <w:t xml:space="preserve"> nie jest z niej zwolniony o</w:t>
      </w:r>
      <w:r w:rsidR="00356CCE" w:rsidRPr="007E117D">
        <w:rPr>
          <w:rFonts w:ascii="Verdana" w:hAnsi="Verdana" w:cs="Georgia"/>
        </w:rPr>
        <w:t>r</w:t>
      </w:r>
      <w:r w:rsidR="00356CCE" w:rsidRPr="007E117D">
        <w:rPr>
          <w:rFonts w:ascii="Verdana" w:hAnsi="Verdana" w:cs="Georgia"/>
        </w:rPr>
        <w:t xml:space="preserve">gan właściwy czyli Prezes UZP. Ze względu na </w:t>
      </w:r>
      <w:proofErr w:type="spellStart"/>
      <w:r w:rsidR="00356CCE" w:rsidRPr="007E117D">
        <w:rPr>
          <w:rFonts w:ascii="Verdana" w:hAnsi="Verdana" w:cs="Georgia"/>
        </w:rPr>
        <w:t>niejednostkowy</w:t>
      </w:r>
      <w:proofErr w:type="spellEnd"/>
      <w:r w:rsidR="00356CCE" w:rsidRPr="007E117D">
        <w:rPr>
          <w:rFonts w:ascii="Verdana" w:hAnsi="Verdana" w:cs="Georgia"/>
        </w:rPr>
        <w:t xml:space="preserve"> charakter z</w:t>
      </w:r>
      <w:r w:rsidR="00356CCE" w:rsidRPr="007E117D">
        <w:rPr>
          <w:rFonts w:ascii="Verdana" w:hAnsi="Verdana" w:cs="Georgia"/>
        </w:rPr>
        <w:t>a</w:t>
      </w:r>
      <w:r w:rsidR="00356CCE" w:rsidRPr="007E117D">
        <w:rPr>
          <w:rFonts w:ascii="Verdana" w:hAnsi="Verdana" w:cs="Georgia"/>
        </w:rPr>
        <w:t xml:space="preserve">gadnienia, zasadne wydaje się zwrócenie się do Prezesa Urzędu o zajęcie stanowiska w sprawie. </w:t>
      </w:r>
    </w:p>
    <w:p w:rsidR="00B67ED0" w:rsidRDefault="00575DDA" w:rsidP="00B67ED0">
      <w:pPr>
        <w:spacing w:line="360" w:lineRule="auto"/>
        <w:jc w:val="both"/>
        <w:rPr>
          <w:rFonts w:ascii="Verdana" w:hAnsi="Verdana" w:cs="Arial"/>
        </w:rPr>
      </w:pPr>
      <w:r w:rsidRPr="007E117D">
        <w:rPr>
          <w:rFonts w:ascii="Verdana" w:hAnsi="Verdana" w:cs="Arial"/>
          <w:noProof/>
        </w:rPr>
        <w:drawing>
          <wp:inline distT="0" distB="0" distL="0" distR="0">
            <wp:extent cx="1304925" cy="5238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925" cy="523875"/>
                    </a:xfrm>
                    <a:prstGeom prst="rect">
                      <a:avLst/>
                    </a:prstGeom>
                    <a:noFill/>
                    <a:ln>
                      <a:noFill/>
                    </a:ln>
                  </pic:spPr>
                </pic:pic>
              </a:graphicData>
            </a:graphic>
          </wp:inline>
        </w:drawing>
      </w:r>
    </w:p>
    <w:p w:rsidR="007E117D" w:rsidRDefault="007E117D" w:rsidP="00B67ED0">
      <w:pPr>
        <w:spacing w:line="360" w:lineRule="auto"/>
        <w:jc w:val="both"/>
        <w:rPr>
          <w:rFonts w:ascii="Verdana" w:hAnsi="Verdana" w:cs="Arial"/>
        </w:rPr>
      </w:pPr>
      <w:r>
        <w:rPr>
          <w:rFonts w:ascii="Verdana" w:hAnsi="Verdana" w:cs="Arial"/>
        </w:rPr>
        <w:t>Dr nauk prawnych</w:t>
      </w:r>
    </w:p>
    <w:p w:rsidR="00C80B8E" w:rsidRPr="007E117D" w:rsidRDefault="007E117D" w:rsidP="00361A0F">
      <w:pPr>
        <w:spacing w:line="360" w:lineRule="auto"/>
        <w:jc w:val="both"/>
      </w:pPr>
      <w:r>
        <w:rPr>
          <w:rFonts w:ascii="Verdana" w:hAnsi="Verdana" w:cs="Arial"/>
        </w:rPr>
        <w:t>Włodzimierz Dzierżanowski</w:t>
      </w:r>
    </w:p>
    <w:sectPr w:rsidR="00C80B8E" w:rsidRPr="007E117D" w:rsidSect="00C15C93">
      <w:headerReference w:type="default" r:id="rId13"/>
      <w:footerReference w:type="default" r:id="rId14"/>
      <w:pgSz w:w="11906" w:h="16838"/>
      <w:pgMar w:top="1560" w:right="1418" w:bottom="1418"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C82" w:rsidRDefault="00A15C82">
      <w:r>
        <w:separator/>
      </w:r>
    </w:p>
  </w:endnote>
  <w:endnote w:type="continuationSeparator" w:id="0">
    <w:p w:rsidR="00A15C82" w:rsidRDefault="00A1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ZapfCalligr TL">
    <w:altName w:val="Palatino Linotype"/>
    <w:panose1 w:val="00000000000000000000"/>
    <w:charset w:val="EE"/>
    <w:family w:val="roman"/>
    <w:notTrueType/>
    <w:pitch w:val="variable"/>
    <w:sig w:usb0="00000007" w:usb1="00000000" w:usb2="00000000" w:usb3="00000000" w:csb0="00000003" w:csb1="00000000"/>
  </w:font>
  <w:font w:name="EUAlbertina">
    <w:altName w:val="EU Albertina"/>
    <w:panose1 w:val="00000000000000000000"/>
    <w:charset w:val="00"/>
    <w:family w:val="roman"/>
    <w:notTrueType/>
    <w:pitch w:val="default"/>
    <w:sig w:usb0="00000007" w:usb1="00000000" w:usb2="00000000" w:usb3="00000000" w:csb0="00000003" w:csb1="00000000"/>
  </w:font>
  <w:font w:name="Georgia-Italic">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A1"/>
    <w:family w:val="auto"/>
    <w:notTrueType/>
    <w:pitch w:val="default"/>
    <w:sig w:usb0="00000081" w:usb1="00000000" w:usb2="00000000" w:usb3="00000000" w:csb0="00000008" w:csb1="00000000"/>
  </w:font>
  <w:font w:name="EUAlbertina+01">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3E" w:rsidRDefault="00B9133E" w:rsidP="00163C6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9133E" w:rsidRDefault="00B9133E" w:rsidP="00163C6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45" w:rsidRPr="005A1F45" w:rsidRDefault="005A1F45" w:rsidP="005A1F45">
    <w:pPr>
      <w:spacing w:before="60"/>
      <w:jc w:val="center"/>
      <w:rPr>
        <w:rFonts w:ascii="Verdana" w:hAnsi="Verdana"/>
        <w:smallCaps/>
        <w:sz w:val="16"/>
      </w:rPr>
    </w:pPr>
    <w:r w:rsidRPr="005A1F45">
      <w:rPr>
        <w:rFonts w:ascii="Verdana" w:hAnsi="Verdana"/>
        <w:smallCaps/>
        <w:sz w:val="16"/>
      </w:rPr>
      <w:t>Zamówienie jest współfinansowane ze środków Europejskiego Funduszu Rozwoju Regionalnego w ramach Pomocy Technicznej Programu Operacyjnego Polska Cyfrowa 2014-2020</w:t>
    </w:r>
  </w:p>
  <w:p w:rsidR="00B9133E" w:rsidRDefault="00B9133E" w:rsidP="005A1F45">
    <w:pPr>
      <w:pStyle w:val="Stopka"/>
      <w:ind w:right="360"/>
      <w:rPr>
        <w:rFonts w:ascii="Verdana" w:hAnsi="Verdana"/>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3E" w:rsidRDefault="00575DDA">
    <w:pPr>
      <w:spacing w:before="60"/>
      <w:jc w:val="center"/>
      <w:rPr>
        <w:rFonts w:ascii="Verdana" w:hAnsi="Verdana"/>
        <w:sz w:val="16"/>
      </w:rPr>
    </w:pPr>
    <w:r>
      <w:rPr>
        <w:rFonts w:ascii="Verdana" w:hAnsi="Verdana"/>
        <w:noProof/>
        <w:sz w:val="16"/>
      </w:rPr>
      <mc:AlternateContent>
        <mc:Choice Requires="wps">
          <w:drawing>
            <wp:anchor distT="0" distB="0" distL="114300" distR="114300" simplePos="0" relativeHeight="251656704" behindDoc="0" locked="0" layoutInCell="0" allowOverlap="1">
              <wp:simplePos x="0" y="0"/>
              <wp:positionH relativeFrom="column">
                <wp:posOffset>1270</wp:posOffset>
              </wp:positionH>
              <wp:positionV relativeFrom="paragraph">
                <wp:posOffset>113030</wp:posOffset>
              </wp:positionV>
              <wp:extent cx="57708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B6C26"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9pt" to="45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nV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" o:allowincell="f"/>
          </w:pict>
        </mc:Fallback>
      </mc:AlternateContent>
    </w:r>
  </w:p>
  <w:p w:rsidR="005A1F45" w:rsidRPr="005A1F45" w:rsidRDefault="005A1F45" w:rsidP="005A1F45">
    <w:pPr>
      <w:spacing w:before="60"/>
      <w:jc w:val="center"/>
      <w:rPr>
        <w:rFonts w:ascii="Verdana" w:hAnsi="Verdana"/>
        <w:smallCaps/>
        <w:sz w:val="16"/>
      </w:rPr>
    </w:pPr>
    <w:r w:rsidRPr="005A1F45">
      <w:rPr>
        <w:rFonts w:ascii="Verdana" w:hAnsi="Verdana"/>
        <w:smallCaps/>
        <w:sz w:val="16"/>
      </w:rPr>
      <w:t>Zamówienie jest współfinansowane ze środków Europejskiego Funduszu Rozwoju Regionalnego w ramach Pomocy Technicznej Programu Operacyjnego Polska Cyfrowa 2014-2020</w:t>
    </w:r>
  </w:p>
  <w:p w:rsidR="00B9133E" w:rsidRPr="00415700" w:rsidRDefault="00B9133E" w:rsidP="005A1F45">
    <w:pPr>
      <w:spacing w:before="60"/>
      <w:jc w:val="center"/>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C82" w:rsidRDefault="00A15C82">
      <w:r>
        <w:separator/>
      </w:r>
    </w:p>
  </w:footnote>
  <w:footnote w:type="continuationSeparator" w:id="0">
    <w:p w:rsidR="00A15C82" w:rsidRDefault="00A15C82">
      <w:r>
        <w:continuationSeparator/>
      </w:r>
    </w:p>
  </w:footnote>
  <w:footnote w:id="1">
    <w:p w:rsidR="00B9133E" w:rsidRPr="00361A0F" w:rsidRDefault="00B9133E" w:rsidP="00B67ED0">
      <w:pPr>
        <w:pStyle w:val="Tekstprzypisudolnego"/>
        <w:jc w:val="both"/>
        <w:rPr>
          <w:sz w:val="18"/>
          <w:szCs w:val="18"/>
        </w:rPr>
      </w:pPr>
      <w:r>
        <w:rPr>
          <w:rStyle w:val="Odwoanieprzypisudolnego"/>
        </w:rPr>
        <w:footnoteRef/>
      </w:r>
      <w:r>
        <w:t xml:space="preserve"> </w:t>
      </w:r>
      <w:r w:rsidRPr="00361A0F">
        <w:rPr>
          <w:sz w:val="18"/>
          <w:szCs w:val="18"/>
        </w:rPr>
        <w:t xml:space="preserve">Wyrok ETS z 16 grudnia 1993 r., </w:t>
      </w:r>
      <w:r w:rsidRPr="00361A0F">
        <w:rPr>
          <w:rStyle w:val="Uwydatnienie"/>
          <w:i w:val="0"/>
          <w:sz w:val="18"/>
          <w:szCs w:val="18"/>
        </w:rPr>
        <w:t xml:space="preserve">Wagner </w:t>
      </w:r>
      <w:proofErr w:type="spellStart"/>
      <w:r w:rsidRPr="00361A0F">
        <w:rPr>
          <w:rStyle w:val="Uwydatnienie"/>
          <w:i w:val="0"/>
          <w:sz w:val="18"/>
          <w:szCs w:val="18"/>
        </w:rPr>
        <w:t>Miret</w:t>
      </w:r>
      <w:proofErr w:type="spellEnd"/>
      <w:r w:rsidRPr="00361A0F">
        <w:rPr>
          <w:rStyle w:val="Uwydatnienie"/>
          <w:i w:val="0"/>
          <w:sz w:val="18"/>
          <w:szCs w:val="18"/>
        </w:rPr>
        <w:t xml:space="preserve"> v. Fondo de </w:t>
      </w:r>
      <w:proofErr w:type="spellStart"/>
      <w:r w:rsidRPr="00361A0F">
        <w:rPr>
          <w:rStyle w:val="Uwydatnienie"/>
          <w:i w:val="0"/>
          <w:sz w:val="18"/>
          <w:szCs w:val="18"/>
        </w:rPr>
        <w:t>Garantia</w:t>
      </w:r>
      <w:proofErr w:type="spellEnd"/>
      <w:r w:rsidRPr="00361A0F">
        <w:rPr>
          <w:rStyle w:val="Uwydatnienie"/>
          <w:i w:val="0"/>
          <w:sz w:val="18"/>
          <w:szCs w:val="18"/>
        </w:rPr>
        <w:t xml:space="preserve"> </w:t>
      </w:r>
      <w:proofErr w:type="spellStart"/>
      <w:r w:rsidRPr="00361A0F">
        <w:rPr>
          <w:rStyle w:val="Uwydatnienie"/>
          <w:i w:val="0"/>
          <w:sz w:val="18"/>
          <w:szCs w:val="18"/>
        </w:rPr>
        <w:t>Salarial</w:t>
      </w:r>
      <w:proofErr w:type="spellEnd"/>
      <w:r w:rsidRPr="00361A0F">
        <w:rPr>
          <w:sz w:val="18"/>
          <w:szCs w:val="18"/>
        </w:rPr>
        <w:t>, C-334/92 Zbiory orzecznictwa ETS 1993 str. I-06.</w:t>
      </w:r>
    </w:p>
  </w:footnote>
  <w:footnote w:id="2">
    <w:p w:rsidR="00DF383D" w:rsidRDefault="00DF383D" w:rsidP="00DF383D">
      <w:pPr>
        <w:pStyle w:val="Tekstprzypisudolnego"/>
        <w:jc w:val="both"/>
      </w:pPr>
      <w:r w:rsidRPr="00361A0F">
        <w:rPr>
          <w:rStyle w:val="Odwoanieprzypisudolnego"/>
          <w:sz w:val="18"/>
          <w:szCs w:val="18"/>
        </w:rPr>
        <w:footnoteRef/>
      </w:r>
      <w:r w:rsidRPr="00361A0F">
        <w:rPr>
          <w:sz w:val="18"/>
          <w:szCs w:val="18"/>
        </w:rPr>
        <w:t xml:space="preserve"> Wyrok TSUE z dnia 10 kwietnia 1984 r. w sprawie 14/83 Von Colon i </w:t>
      </w:r>
      <w:proofErr w:type="spellStart"/>
      <w:r w:rsidRPr="00361A0F">
        <w:rPr>
          <w:sz w:val="18"/>
          <w:szCs w:val="18"/>
        </w:rPr>
        <w:t>Kamann</w:t>
      </w:r>
      <w:proofErr w:type="spellEnd"/>
      <w:r w:rsidRPr="00361A0F">
        <w:rPr>
          <w:sz w:val="18"/>
          <w:szCs w:val="18"/>
        </w:rPr>
        <w:t xml:space="preserve">, ETS z dnia 13 listopada 1990 r. w sprawie C-106/89 </w:t>
      </w:r>
      <w:proofErr w:type="spellStart"/>
      <w:r w:rsidRPr="00361A0F">
        <w:rPr>
          <w:sz w:val="18"/>
          <w:szCs w:val="18"/>
        </w:rPr>
        <w:t>Marleasing</w:t>
      </w:r>
      <w:proofErr w:type="spellEnd"/>
      <w:r>
        <w:t xml:space="preserve"> </w:t>
      </w:r>
    </w:p>
  </w:footnote>
  <w:footnote w:id="3">
    <w:p w:rsidR="00B9133E" w:rsidRDefault="00B9133E" w:rsidP="00B67ED0">
      <w:pPr>
        <w:autoSpaceDE w:val="0"/>
        <w:autoSpaceDN w:val="0"/>
        <w:adjustRightInd w:val="0"/>
      </w:pPr>
      <w:r>
        <w:rPr>
          <w:rStyle w:val="Odwoanieprzypisudolnego"/>
        </w:rPr>
        <w:footnoteRef/>
      </w:r>
      <w:r>
        <w:t xml:space="preserve"> </w:t>
      </w:r>
      <w:r>
        <w:rPr>
          <w:sz w:val="18"/>
          <w:szCs w:val="18"/>
        </w:rPr>
        <w:t xml:space="preserve">Z. Radwański i M. Zieliński, </w:t>
      </w:r>
      <w:r>
        <w:rPr>
          <w:rFonts w:eastAsia="Georgia-Italic"/>
          <w:iCs/>
          <w:sz w:val="18"/>
          <w:szCs w:val="18"/>
        </w:rPr>
        <w:t>System prawa prywatnego</w:t>
      </w:r>
      <w:r>
        <w:rPr>
          <w:sz w:val="18"/>
          <w:szCs w:val="18"/>
        </w:rPr>
        <w:t>, t. 1, Warszawa 2007, s. 479–480.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45" w:rsidRDefault="00575DDA">
    <w:pPr>
      <w:pStyle w:val="Nagwek"/>
    </w:pPr>
    <w:r w:rsidRPr="005A1F45">
      <w:rPr>
        <w:noProof/>
      </w:rPr>
      <w:drawing>
        <wp:inline distT="0" distB="0" distL="0" distR="0">
          <wp:extent cx="5767070" cy="5791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070" cy="5791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3E" w:rsidRDefault="00575DDA">
    <w:pPr>
      <w:jc w:val="both"/>
    </w:pPr>
    <w:r w:rsidRPr="005A1F45">
      <w:rPr>
        <w:noProof/>
      </w:rPr>
      <w:drawing>
        <wp:inline distT="0" distB="0" distL="0" distR="0">
          <wp:extent cx="5767070" cy="5791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070"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54D7"/>
    <w:multiLevelType w:val="hybridMultilevel"/>
    <w:tmpl w:val="FF24B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41E1B"/>
    <w:multiLevelType w:val="hybridMultilevel"/>
    <w:tmpl w:val="5388D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935AD3"/>
    <w:multiLevelType w:val="hybridMultilevel"/>
    <w:tmpl w:val="284C4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AC3A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085074"/>
    <w:multiLevelType w:val="multilevel"/>
    <w:tmpl w:val="0F98916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3030"/>
        </w:tabs>
        <w:ind w:left="3030" w:hanging="1050"/>
      </w:pPr>
      <w:rPr>
        <w:rFonts w:hint="default"/>
      </w:rPr>
    </w:lvl>
    <w:lvl w:ilvl="3">
      <w:start w:val="1"/>
      <w:numFmt w:val="decimal"/>
      <w:lvlText w:val="%4."/>
      <w:lvlJc w:val="left"/>
      <w:pPr>
        <w:tabs>
          <w:tab w:val="num" w:pos="3360"/>
        </w:tabs>
        <w:ind w:left="3360" w:hanging="840"/>
      </w:pPr>
      <w:rPr>
        <w:rFonts w:hint="default"/>
        <w:b w:val="0"/>
        <w:i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DD947E7"/>
    <w:multiLevelType w:val="hybridMultilevel"/>
    <w:tmpl w:val="1AA46FC6"/>
    <w:lvl w:ilvl="0" w:tplc="0415000F">
      <w:start w:val="1"/>
      <w:numFmt w:val="decimal"/>
      <w:lvlText w:val="%1."/>
      <w:lvlJc w:val="left"/>
      <w:pPr>
        <w:ind w:left="720" w:hanging="360"/>
      </w:pPr>
    </w:lvl>
    <w:lvl w:ilvl="1" w:tplc="902454C6">
      <w:numFmt w:val="bullet"/>
      <w:lvlText w:val=""/>
      <w:lvlJc w:val="left"/>
      <w:pPr>
        <w:ind w:left="144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CB1354"/>
    <w:multiLevelType w:val="hybridMultilevel"/>
    <w:tmpl w:val="8648FD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3B1F69"/>
    <w:multiLevelType w:val="multilevel"/>
    <w:tmpl w:val="6D8AC1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400"/>
        </w:tabs>
        <w:ind w:left="2400" w:hanging="4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C3A116C"/>
    <w:multiLevelType w:val="hybridMultilevel"/>
    <w:tmpl w:val="214808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32C7D3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40214BD"/>
    <w:multiLevelType w:val="hybridMultilevel"/>
    <w:tmpl w:val="7E82B7E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427134"/>
    <w:multiLevelType w:val="hybridMultilevel"/>
    <w:tmpl w:val="3BAE0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B7C5B75"/>
    <w:multiLevelType w:val="hybridMultilevel"/>
    <w:tmpl w:val="94F05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D223B1"/>
    <w:multiLevelType w:val="hybridMultilevel"/>
    <w:tmpl w:val="103AE5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664A84"/>
    <w:multiLevelType w:val="hybridMultilevel"/>
    <w:tmpl w:val="BB0AE7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53D27CA"/>
    <w:multiLevelType w:val="multilevel"/>
    <w:tmpl w:val="CD88564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67130A4E"/>
    <w:multiLevelType w:val="hybridMultilevel"/>
    <w:tmpl w:val="0166E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304C0B"/>
    <w:multiLevelType w:val="hybridMultilevel"/>
    <w:tmpl w:val="22A67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5FD4A8F"/>
    <w:multiLevelType w:val="hybridMultilevel"/>
    <w:tmpl w:val="2DFC6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8EE2605"/>
    <w:multiLevelType w:val="hybridMultilevel"/>
    <w:tmpl w:val="71649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lvlOverride w:ilvl="3"/>
    <w:lvlOverride w:ilvl="4"/>
    <w:lvlOverride w:ilvl="5"/>
    <w:lvlOverride w:ilvl="6"/>
    <w:lvlOverride w:ilvl="7"/>
    <w:lvlOverride w:ilvl="8"/>
  </w:num>
  <w:num w:numId="4">
    <w:abstractNumId w:val="4"/>
  </w:num>
  <w:num w:numId="5">
    <w:abstractNumId w:val="7"/>
  </w:num>
  <w:num w:numId="6">
    <w:abstractNumId w:val="16"/>
  </w:num>
  <w:num w:numId="7">
    <w:abstractNumId w:val="15"/>
  </w:num>
  <w:num w:numId="8">
    <w:abstractNumId w:val="0"/>
  </w:num>
  <w:num w:numId="9">
    <w:abstractNumId w:val="8"/>
  </w:num>
  <w:num w:numId="10">
    <w:abstractNumId w:val="6"/>
  </w:num>
  <w:num w:numId="11">
    <w:abstractNumId w:val="13"/>
  </w:num>
  <w:num w:numId="12">
    <w:abstractNumId w:val="5"/>
  </w:num>
  <w:num w:numId="13">
    <w:abstractNumId w:val="17"/>
  </w:num>
  <w:num w:numId="14">
    <w:abstractNumId w:val="10"/>
  </w:num>
  <w:num w:numId="15">
    <w:abstractNumId w:val="1"/>
  </w:num>
  <w:num w:numId="16">
    <w:abstractNumId w:val="19"/>
  </w:num>
  <w:num w:numId="17">
    <w:abstractNumId w:val="11"/>
  </w:num>
  <w:num w:numId="18">
    <w:abstractNumId w:val="2"/>
  </w:num>
  <w:num w:numId="19">
    <w:abstractNumId w:val="14"/>
  </w:num>
  <w:num w:numId="20">
    <w:abstractNumId w:val="12"/>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3B"/>
    <w:rsid w:val="0000398F"/>
    <w:rsid w:val="000041F9"/>
    <w:rsid w:val="00011A89"/>
    <w:rsid w:val="00011DA7"/>
    <w:rsid w:val="00012AB1"/>
    <w:rsid w:val="000134C0"/>
    <w:rsid w:val="00014621"/>
    <w:rsid w:val="000179F6"/>
    <w:rsid w:val="000220E9"/>
    <w:rsid w:val="0002432B"/>
    <w:rsid w:val="000245C2"/>
    <w:rsid w:val="0003090C"/>
    <w:rsid w:val="0003286F"/>
    <w:rsid w:val="00033641"/>
    <w:rsid w:val="00034FC1"/>
    <w:rsid w:val="000355F4"/>
    <w:rsid w:val="0004028C"/>
    <w:rsid w:val="000415EF"/>
    <w:rsid w:val="0004388E"/>
    <w:rsid w:val="00051697"/>
    <w:rsid w:val="00054114"/>
    <w:rsid w:val="000541F8"/>
    <w:rsid w:val="00054717"/>
    <w:rsid w:val="000555F6"/>
    <w:rsid w:val="00055943"/>
    <w:rsid w:val="00060630"/>
    <w:rsid w:val="00063C61"/>
    <w:rsid w:val="00064A15"/>
    <w:rsid w:val="000740C6"/>
    <w:rsid w:val="00075BC0"/>
    <w:rsid w:val="00076A4F"/>
    <w:rsid w:val="000776FD"/>
    <w:rsid w:val="00077983"/>
    <w:rsid w:val="00082DD2"/>
    <w:rsid w:val="00083375"/>
    <w:rsid w:val="00092F5E"/>
    <w:rsid w:val="000937AC"/>
    <w:rsid w:val="000961EB"/>
    <w:rsid w:val="000A2092"/>
    <w:rsid w:val="000A3042"/>
    <w:rsid w:val="000A42A3"/>
    <w:rsid w:val="000A462E"/>
    <w:rsid w:val="000A7512"/>
    <w:rsid w:val="000B1D25"/>
    <w:rsid w:val="000B603E"/>
    <w:rsid w:val="000B6476"/>
    <w:rsid w:val="000B6C51"/>
    <w:rsid w:val="000C1D9E"/>
    <w:rsid w:val="000C638A"/>
    <w:rsid w:val="000C79EA"/>
    <w:rsid w:val="000E1E98"/>
    <w:rsid w:val="000E6786"/>
    <w:rsid w:val="000E7E6D"/>
    <w:rsid w:val="000F1659"/>
    <w:rsid w:val="000F5B59"/>
    <w:rsid w:val="00102B5F"/>
    <w:rsid w:val="00103A1B"/>
    <w:rsid w:val="00103E02"/>
    <w:rsid w:val="00105C3C"/>
    <w:rsid w:val="00107DF8"/>
    <w:rsid w:val="00114747"/>
    <w:rsid w:val="001174F0"/>
    <w:rsid w:val="001211B3"/>
    <w:rsid w:val="0012193E"/>
    <w:rsid w:val="00121B5F"/>
    <w:rsid w:val="00125356"/>
    <w:rsid w:val="0012672D"/>
    <w:rsid w:val="00127A01"/>
    <w:rsid w:val="001306F7"/>
    <w:rsid w:val="00137AF9"/>
    <w:rsid w:val="001433BF"/>
    <w:rsid w:val="001448BF"/>
    <w:rsid w:val="00146CD1"/>
    <w:rsid w:val="00147C1E"/>
    <w:rsid w:val="0015075C"/>
    <w:rsid w:val="00156AD8"/>
    <w:rsid w:val="00163C65"/>
    <w:rsid w:val="00164B77"/>
    <w:rsid w:val="00166D52"/>
    <w:rsid w:val="001728EE"/>
    <w:rsid w:val="00184FEE"/>
    <w:rsid w:val="00186DC2"/>
    <w:rsid w:val="00190EA2"/>
    <w:rsid w:val="00196DBF"/>
    <w:rsid w:val="00197F53"/>
    <w:rsid w:val="001A65C6"/>
    <w:rsid w:val="001B0DAF"/>
    <w:rsid w:val="001B10CE"/>
    <w:rsid w:val="001B2BA6"/>
    <w:rsid w:val="001B3F54"/>
    <w:rsid w:val="001C0699"/>
    <w:rsid w:val="001C1CB8"/>
    <w:rsid w:val="001C30B6"/>
    <w:rsid w:val="001D0030"/>
    <w:rsid w:val="001D0347"/>
    <w:rsid w:val="001D0513"/>
    <w:rsid w:val="001D19DF"/>
    <w:rsid w:val="001D2867"/>
    <w:rsid w:val="001D46B6"/>
    <w:rsid w:val="001D6E14"/>
    <w:rsid w:val="001E26BC"/>
    <w:rsid w:val="001E2B3F"/>
    <w:rsid w:val="001F3556"/>
    <w:rsid w:val="001F49C7"/>
    <w:rsid w:val="002027B8"/>
    <w:rsid w:val="002063A0"/>
    <w:rsid w:val="002065E5"/>
    <w:rsid w:val="002066D8"/>
    <w:rsid w:val="002169E1"/>
    <w:rsid w:val="0021720C"/>
    <w:rsid w:val="00217C94"/>
    <w:rsid w:val="00221113"/>
    <w:rsid w:val="002211DA"/>
    <w:rsid w:val="002215F7"/>
    <w:rsid w:val="0022260C"/>
    <w:rsid w:val="002239BF"/>
    <w:rsid w:val="0022531D"/>
    <w:rsid w:val="00227FF7"/>
    <w:rsid w:val="00235442"/>
    <w:rsid w:val="0024389C"/>
    <w:rsid w:val="00251332"/>
    <w:rsid w:val="00254738"/>
    <w:rsid w:val="002551A6"/>
    <w:rsid w:val="00256559"/>
    <w:rsid w:val="002567EE"/>
    <w:rsid w:val="00257010"/>
    <w:rsid w:val="00261763"/>
    <w:rsid w:val="0026220E"/>
    <w:rsid w:val="00272A72"/>
    <w:rsid w:val="002752CE"/>
    <w:rsid w:val="0027561C"/>
    <w:rsid w:val="00283543"/>
    <w:rsid w:val="002877A3"/>
    <w:rsid w:val="00292749"/>
    <w:rsid w:val="002928C2"/>
    <w:rsid w:val="00293551"/>
    <w:rsid w:val="00293F63"/>
    <w:rsid w:val="00294A3F"/>
    <w:rsid w:val="002A55AA"/>
    <w:rsid w:val="002A7DAB"/>
    <w:rsid w:val="002B38CC"/>
    <w:rsid w:val="002B48E2"/>
    <w:rsid w:val="002B64D1"/>
    <w:rsid w:val="002C0305"/>
    <w:rsid w:val="002C36D3"/>
    <w:rsid w:val="002C3BBB"/>
    <w:rsid w:val="002C583B"/>
    <w:rsid w:val="002C700F"/>
    <w:rsid w:val="002C7E2B"/>
    <w:rsid w:val="002D03AE"/>
    <w:rsid w:val="002D202E"/>
    <w:rsid w:val="002D2A86"/>
    <w:rsid w:val="002D66C6"/>
    <w:rsid w:val="002E081D"/>
    <w:rsid w:val="002E132A"/>
    <w:rsid w:val="002E346D"/>
    <w:rsid w:val="002E3B24"/>
    <w:rsid w:val="002E4954"/>
    <w:rsid w:val="002E6296"/>
    <w:rsid w:val="002F44B4"/>
    <w:rsid w:val="002F47A2"/>
    <w:rsid w:val="002F5E65"/>
    <w:rsid w:val="0030222A"/>
    <w:rsid w:val="0030248B"/>
    <w:rsid w:val="003116EE"/>
    <w:rsid w:val="00313F6D"/>
    <w:rsid w:val="00321C2F"/>
    <w:rsid w:val="00323140"/>
    <w:rsid w:val="00323423"/>
    <w:rsid w:val="00323D0E"/>
    <w:rsid w:val="003261DE"/>
    <w:rsid w:val="0033070C"/>
    <w:rsid w:val="003309E1"/>
    <w:rsid w:val="0033240A"/>
    <w:rsid w:val="00332F98"/>
    <w:rsid w:val="0034051B"/>
    <w:rsid w:val="003410EF"/>
    <w:rsid w:val="00343F9F"/>
    <w:rsid w:val="00350663"/>
    <w:rsid w:val="00351355"/>
    <w:rsid w:val="0035659B"/>
    <w:rsid w:val="00356CCE"/>
    <w:rsid w:val="00360D7B"/>
    <w:rsid w:val="00361A0F"/>
    <w:rsid w:val="00365F7B"/>
    <w:rsid w:val="00371092"/>
    <w:rsid w:val="0037198A"/>
    <w:rsid w:val="003741F6"/>
    <w:rsid w:val="00391693"/>
    <w:rsid w:val="00391E5E"/>
    <w:rsid w:val="00393FA9"/>
    <w:rsid w:val="00395147"/>
    <w:rsid w:val="00396D42"/>
    <w:rsid w:val="00397028"/>
    <w:rsid w:val="003A6917"/>
    <w:rsid w:val="003A73F3"/>
    <w:rsid w:val="003B269D"/>
    <w:rsid w:val="003B6747"/>
    <w:rsid w:val="003B6BA0"/>
    <w:rsid w:val="003C0BD9"/>
    <w:rsid w:val="003C1979"/>
    <w:rsid w:val="003C1DBD"/>
    <w:rsid w:val="003C284D"/>
    <w:rsid w:val="003C5579"/>
    <w:rsid w:val="003C5FA8"/>
    <w:rsid w:val="003C6202"/>
    <w:rsid w:val="003C6E21"/>
    <w:rsid w:val="003D064D"/>
    <w:rsid w:val="003D0EC6"/>
    <w:rsid w:val="003D11E1"/>
    <w:rsid w:val="003D2016"/>
    <w:rsid w:val="003D48EC"/>
    <w:rsid w:val="003E074D"/>
    <w:rsid w:val="003E2A24"/>
    <w:rsid w:val="003E2A87"/>
    <w:rsid w:val="003E6012"/>
    <w:rsid w:val="003F0A22"/>
    <w:rsid w:val="003F4F3B"/>
    <w:rsid w:val="003F67E2"/>
    <w:rsid w:val="003F6F10"/>
    <w:rsid w:val="003F70FE"/>
    <w:rsid w:val="00403281"/>
    <w:rsid w:val="0040366E"/>
    <w:rsid w:val="00406D25"/>
    <w:rsid w:val="00415700"/>
    <w:rsid w:val="00421FA7"/>
    <w:rsid w:val="004256C7"/>
    <w:rsid w:val="00426141"/>
    <w:rsid w:val="004300E7"/>
    <w:rsid w:val="004344A3"/>
    <w:rsid w:val="004403D3"/>
    <w:rsid w:val="0044293D"/>
    <w:rsid w:val="004431DC"/>
    <w:rsid w:val="00445252"/>
    <w:rsid w:val="00445769"/>
    <w:rsid w:val="004466C1"/>
    <w:rsid w:val="00447464"/>
    <w:rsid w:val="00447548"/>
    <w:rsid w:val="0045020D"/>
    <w:rsid w:val="00453145"/>
    <w:rsid w:val="00455B7D"/>
    <w:rsid w:val="00455BC3"/>
    <w:rsid w:val="004614F3"/>
    <w:rsid w:val="0046436E"/>
    <w:rsid w:val="004706A3"/>
    <w:rsid w:val="00470722"/>
    <w:rsid w:val="0047128A"/>
    <w:rsid w:val="00472737"/>
    <w:rsid w:val="0047466C"/>
    <w:rsid w:val="0047607D"/>
    <w:rsid w:val="004807EF"/>
    <w:rsid w:val="004821E9"/>
    <w:rsid w:val="004825B2"/>
    <w:rsid w:val="004839B1"/>
    <w:rsid w:val="0048649B"/>
    <w:rsid w:val="004952A0"/>
    <w:rsid w:val="00497C9A"/>
    <w:rsid w:val="004A0AC0"/>
    <w:rsid w:val="004A3745"/>
    <w:rsid w:val="004A5E30"/>
    <w:rsid w:val="004B157E"/>
    <w:rsid w:val="004B28A6"/>
    <w:rsid w:val="004B3DBC"/>
    <w:rsid w:val="004C350D"/>
    <w:rsid w:val="004C75A5"/>
    <w:rsid w:val="004D274D"/>
    <w:rsid w:val="004D6367"/>
    <w:rsid w:val="004D75C5"/>
    <w:rsid w:val="004D7D50"/>
    <w:rsid w:val="004E06D5"/>
    <w:rsid w:val="004E1438"/>
    <w:rsid w:val="004E4F15"/>
    <w:rsid w:val="004F2144"/>
    <w:rsid w:val="004F2880"/>
    <w:rsid w:val="004F4F29"/>
    <w:rsid w:val="004F515A"/>
    <w:rsid w:val="00525328"/>
    <w:rsid w:val="00525E62"/>
    <w:rsid w:val="00526740"/>
    <w:rsid w:val="0052707C"/>
    <w:rsid w:val="005278E9"/>
    <w:rsid w:val="00531010"/>
    <w:rsid w:val="005351E1"/>
    <w:rsid w:val="00550CB8"/>
    <w:rsid w:val="00551DF8"/>
    <w:rsid w:val="005528F8"/>
    <w:rsid w:val="0055412B"/>
    <w:rsid w:val="00560EB4"/>
    <w:rsid w:val="00563AFB"/>
    <w:rsid w:val="005671C4"/>
    <w:rsid w:val="00570ADC"/>
    <w:rsid w:val="00571513"/>
    <w:rsid w:val="00575DDA"/>
    <w:rsid w:val="005765C7"/>
    <w:rsid w:val="00576BEC"/>
    <w:rsid w:val="00587CEA"/>
    <w:rsid w:val="0059209E"/>
    <w:rsid w:val="00593127"/>
    <w:rsid w:val="005943DC"/>
    <w:rsid w:val="005A044F"/>
    <w:rsid w:val="005A1F45"/>
    <w:rsid w:val="005A2CE5"/>
    <w:rsid w:val="005B0112"/>
    <w:rsid w:val="005B034C"/>
    <w:rsid w:val="005B2198"/>
    <w:rsid w:val="005B27E2"/>
    <w:rsid w:val="005B37CB"/>
    <w:rsid w:val="005B49E6"/>
    <w:rsid w:val="005B5AC4"/>
    <w:rsid w:val="005C1E9C"/>
    <w:rsid w:val="005C3806"/>
    <w:rsid w:val="005C4111"/>
    <w:rsid w:val="005C4804"/>
    <w:rsid w:val="005C5157"/>
    <w:rsid w:val="005C7412"/>
    <w:rsid w:val="005D2C88"/>
    <w:rsid w:val="005D39DE"/>
    <w:rsid w:val="005D5344"/>
    <w:rsid w:val="005D56D4"/>
    <w:rsid w:val="005D7498"/>
    <w:rsid w:val="005E4082"/>
    <w:rsid w:val="005F064C"/>
    <w:rsid w:val="005F1F48"/>
    <w:rsid w:val="005F3950"/>
    <w:rsid w:val="005F3A1B"/>
    <w:rsid w:val="0060317B"/>
    <w:rsid w:val="0060370C"/>
    <w:rsid w:val="006049F6"/>
    <w:rsid w:val="0060609E"/>
    <w:rsid w:val="00607162"/>
    <w:rsid w:val="00613391"/>
    <w:rsid w:val="00616310"/>
    <w:rsid w:val="006170D6"/>
    <w:rsid w:val="0062553A"/>
    <w:rsid w:val="00637334"/>
    <w:rsid w:val="00640550"/>
    <w:rsid w:val="00643C8B"/>
    <w:rsid w:val="006446C0"/>
    <w:rsid w:val="00647FCD"/>
    <w:rsid w:val="0065318F"/>
    <w:rsid w:val="006630F6"/>
    <w:rsid w:val="006635A7"/>
    <w:rsid w:val="0066765D"/>
    <w:rsid w:val="00670327"/>
    <w:rsid w:val="00672A01"/>
    <w:rsid w:val="00677ECC"/>
    <w:rsid w:val="00681738"/>
    <w:rsid w:val="00681B68"/>
    <w:rsid w:val="00681EFF"/>
    <w:rsid w:val="00685E56"/>
    <w:rsid w:val="00687706"/>
    <w:rsid w:val="00687FF0"/>
    <w:rsid w:val="006966E3"/>
    <w:rsid w:val="00696E7D"/>
    <w:rsid w:val="00696E86"/>
    <w:rsid w:val="00697538"/>
    <w:rsid w:val="006A01A9"/>
    <w:rsid w:val="006A2506"/>
    <w:rsid w:val="006A3249"/>
    <w:rsid w:val="006A459B"/>
    <w:rsid w:val="006A5359"/>
    <w:rsid w:val="006A5799"/>
    <w:rsid w:val="006A7935"/>
    <w:rsid w:val="006A7D9E"/>
    <w:rsid w:val="006B0C17"/>
    <w:rsid w:val="006B1F2B"/>
    <w:rsid w:val="006B3BD2"/>
    <w:rsid w:val="006B4F78"/>
    <w:rsid w:val="006B5925"/>
    <w:rsid w:val="006B788B"/>
    <w:rsid w:val="006C020E"/>
    <w:rsid w:val="006C1DE3"/>
    <w:rsid w:val="006C23EE"/>
    <w:rsid w:val="006C344E"/>
    <w:rsid w:val="006C3FD8"/>
    <w:rsid w:val="006D2956"/>
    <w:rsid w:val="006D2BAB"/>
    <w:rsid w:val="006D2DFD"/>
    <w:rsid w:val="006D5C88"/>
    <w:rsid w:val="006D6914"/>
    <w:rsid w:val="006E1B01"/>
    <w:rsid w:val="006E4C26"/>
    <w:rsid w:val="006F111C"/>
    <w:rsid w:val="006F1E66"/>
    <w:rsid w:val="006F30B3"/>
    <w:rsid w:val="006F6A41"/>
    <w:rsid w:val="0070011E"/>
    <w:rsid w:val="00700972"/>
    <w:rsid w:val="00701F4B"/>
    <w:rsid w:val="007025DC"/>
    <w:rsid w:val="00703FC8"/>
    <w:rsid w:val="0071006D"/>
    <w:rsid w:val="00711FC0"/>
    <w:rsid w:val="00712297"/>
    <w:rsid w:val="007156E9"/>
    <w:rsid w:val="00716422"/>
    <w:rsid w:val="00723498"/>
    <w:rsid w:val="007323EB"/>
    <w:rsid w:val="00736A5D"/>
    <w:rsid w:val="00745072"/>
    <w:rsid w:val="00747200"/>
    <w:rsid w:val="00747B61"/>
    <w:rsid w:val="00756463"/>
    <w:rsid w:val="00765E10"/>
    <w:rsid w:val="007664E9"/>
    <w:rsid w:val="0076694E"/>
    <w:rsid w:val="00771E32"/>
    <w:rsid w:val="00776B69"/>
    <w:rsid w:val="00777FDC"/>
    <w:rsid w:val="0078030D"/>
    <w:rsid w:val="00784BE8"/>
    <w:rsid w:val="0078754B"/>
    <w:rsid w:val="00791133"/>
    <w:rsid w:val="00791B34"/>
    <w:rsid w:val="007A0861"/>
    <w:rsid w:val="007A39ED"/>
    <w:rsid w:val="007A448F"/>
    <w:rsid w:val="007B2ABC"/>
    <w:rsid w:val="007B320F"/>
    <w:rsid w:val="007B37A2"/>
    <w:rsid w:val="007B7F2E"/>
    <w:rsid w:val="007C0A77"/>
    <w:rsid w:val="007C2AFE"/>
    <w:rsid w:val="007D18B3"/>
    <w:rsid w:val="007D5B29"/>
    <w:rsid w:val="007D7735"/>
    <w:rsid w:val="007E117D"/>
    <w:rsid w:val="007E5124"/>
    <w:rsid w:val="007E67B3"/>
    <w:rsid w:val="007F1411"/>
    <w:rsid w:val="007F1A8C"/>
    <w:rsid w:val="007F2CE8"/>
    <w:rsid w:val="007F2F31"/>
    <w:rsid w:val="007F634E"/>
    <w:rsid w:val="007F6934"/>
    <w:rsid w:val="0080011D"/>
    <w:rsid w:val="0080078C"/>
    <w:rsid w:val="008008A4"/>
    <w:rsid w:val="0080417D"/>
    <w:rsid w:val="00806247"/>
    <w:rsid w:val="00813191"/>
    <w:rsid w:val="00815CF8"/>
    <w:rsid w:val="00816572"/>
    <w:rsid w:val="00817069"/>
    <w:rsid w:val="00817304"/>
    <w:rsid w:val="00821B86"/>
    <w:rsid w:val="0082421C"/>
    <w:rsid w:val="00827757"/>
    <w:rsid w:val="00827913"/>
    <w:rsid w:val="00827AF0"/>
    <w:rsid w:val="00841860"/>
    <w:rsid w:val="0085509E"/>
    <w:rsid w:val="00860776"/>
    <w:rsid w:val="008621D3"/>
    <w:rsid w:val="00863C64"/>
    <w:rsid w:val="008644DB"/>
    <w:rsid w:val="008659A3"/>
    <w:rsid w:val="00865B84"/>
    <w:rsid w:val="00871916"/>
    <w:rsid w:val="00872803"/>
    <w:rsid w:val="008750B6"/>
    <w:rsid w:val="00875F96"/>
    <w:rsid w:val="00880114"/>
    <w:rsid w:val="00880C11"/>
    <w:rsid w:val="00882C1E"/>
    <w:rsid w:val="00884AC8"/>
    <w:rsid w:val="008850C7"/>
    <w:rsid w:val="00886331"/>
    <w:rsid w:val="00893640"/>
    <w:rsid w:val="00894E68"/>
    <w:rsid w:val="008A2FD2"/>
    <w:rsid w:val="008A56FA"/>
    <w:rsid w:val="008A5919"/>
    <w:rsid w:val="008A6E2B"/>
    <w:rsid w:val="008B1E3B"/>
    <w:rsid w:val="008B57A5"/>
    <w:rsid w:val="008B64F9"/>
    <w:rsid w:val="008C3F82"/>
    <w:rsid w:val="008C68FC"/>
    <w:rsid w:val="008D0C04"/>
    <w:rsid w:val="008D1AAB"/>
    <w:rsid w:val="008D367E"/>
    <w:rsid w:val="008E2706"/>
    <w:rsid w:val="008E2C1A"/>
    <w:rsid w:val="008E3284"/>
    <w:rsid w:val="008F2B8E"/>
    <w:rsid w:val="008F42C3"/>
    <w:rsid w:val="008F49F5"/>
    <w:rsid w:val="008F6F44"/>
    <w:rsid w:val="008F7EF4"/>
    <w:rsid w:val="00900387"/>
    <w:rsid w:val="009003FC"/>
    <w:rsid w:val="009047B5"/>
    <w:rsid w:val="00904A94"/>
    <w:rsid w:val="00904AD5"/>
    <w:rsid w:val="0090528D"/>
    <w:rsid w:val="00910582"/>
    <w:rsid w:val="00916BFD"/>
    <w:rsid w:val="00921E52"/>
    <w:rsid w:val="009312D4"/>
    <w:rsid w:val="00933D41"/>
    <w:rsid w:val="00936C26"/>
    <w:rsid w:val="00944B03"/>
    <w:rsid w:val="00945149"/>
    <w:rsid w:val="00945886"/>
    <w:rsid w:val="009535E7"/>
    <w:rsid w:val="009553B3"/>
    <w:rsid w:val="00957817"/>
    <w:rsid w:val="0096002F"/>
    <w:rsid w:val="00960F33"/>
    <w:rsid w:val="009673B7"/>
    <w:rsid w:val="00972B09"/>
    <w:rsid w:val="00974284"/>
    <w:rsid w:val="00975EDC"/>
    <w:rsid w:val="009764A4"/>
    <w:rsid w:val="00976F2A"/>
    <w:rsid w:val="0099012C"/>
    <w:rsid w:val="00994ED6"/>
    <w:rsid w:val="009961E5"/>
    <w:rsid w:val="009A016D"/>
    <w:rsid w:val="009A1055"/>
    <w:rsid w:val="009A1068"/>
    <w:rsid w:val="009A14AF"/>
    <w:rsid w:val="009A1800"/>
    <w:rsid w:val="009A3EC2"/>
    <w:rsid w:val="009A5A55"/>
    <w:rsid w:val="009A666C"/>
    <w:rsid w:val="009B25A4"/>
    <w:rsid w:val="009B5ED2"/>
    <w:rsid w:val="009C0E65"/>
    <w:rsid w:val="009C1782"/>
    <w:rsid w:val="009C2842"/>
    <w:rsid w:val="009C2E7D"/>
    <w:rsid w:val="009C31A2"/>
    <w:rsid w:val="009C3B8E"/>
    <w:rsid w:val="009C3BCB"/>
    <w:rsid w:val="009C5649"/>
    <w:rsid w:val="009C7046"/>
    <w:rsid w:val="009C7386"/>
    <w:rsid w:val="009D3BAB"/>
    <w:rsid w:val="009D69CA"/>
    <w:rsid w:val="009E04C5"/>
    <w:rsid w:val="009E2127"/>
    <w:rsid w:val="009E29C9"/>
    <w:rsid w:val="009F1501"/>
    <w:rsid w:val="009F1B0A"/>
    <w:rsid w:val="009F2975"/>
    <w:rsid w:val="009F3234"/>
    <w:rsid w:val="00A01101"/>
    <w:rsid w:val="00A0390D"/>
    <w:rsid w:val="00A052ED"/>
    <w:rsid w:val="00A059AB"/>
    <w:rsid w:val="00A078A0"/>
    <w:rsid w:val="00A134EC"/>
    <w:rsid w:val="00A14001"/>
    <w:rsid w:val="00A15C82"/>
    <w:rsid w:val="00A15CDE"/>
    <w:rsid w:val="00A20319"/>
    <w:rsid w:val="00A2035D"/>
    <w:rsid w:val="00A230B7"/>
    <w:rsid w:val="00A23A45"/>
    <w:rsid w:val="00A30BCD"/>
    <w:rsid w:val="00A32916"/>
    <w:rsid w:val="00A34EDF"/>
    <w:rsid w:val="00A35A5C"/>
    <w:rsid w:val="00A36285"/>
    <w:rsid w:val="00A4670A"/>
    <w:rsid w:val="00A527DB"/>
    <w:rsid w:val="00A53DF3"/>
    <w:rsid w:val="00A61AA1"/>
    <w:rsid w:val="00A64C0C"/>
    <w:rsid w:val="00A678A1"/>
    <w:rsid w:val="00A73308"/>
    <w:rsid w:val="00A7551A"/>
    <w:rsid w:val="00A83D1E"/>
    <w:rsid w:val="00A848F0"/>
    <w:rsid w:val="00A84EC1"/>
    <w:rsid w:val="00A85DFF"/>
    <w:rsid w:val="00A9332F"/>
    <w:rsid w:val="00A952B7"/>
    <w:rsid w:val="00AA6CA0"/>
    <w:rsid w:val="00AA6CC9"/>
    <w:rsid w:val="00AB45B4"/>
    <w:rsid w:val="00AB4733"/>
    <w:rsid w:val="00AB65BC"/>
    <w:rsid w:val="00AB6EA2"/>
    <w:rsid w:val="00AC3A0A"/>
    <w:rsid w:val="00AC7849"/>
    <w:rsid w:val="00AD0F62"/>
    <w:rsid w:val="00AD119C"/>
    <w:rsid w:val="00AD3D49"/>
    <w:rsid w:val="00AD46F9"/>
    <w:rsid w:val="00AD79EA"/>
    <w:rsid w:val="00AF347E"/>
    <w:rsid w:val="00AF68B5"/>
    <w:rsid w:val="00B0279C"/>
    <w:rsid w:val="00B13C70"/>
    <w:rsid w:val="00B15EEB"/>
    <w:rsid w:val="00B2035A"/>
    <w:rsid w:val="00B211BD"/>
    <w:rsid w:val="00B22B33"/>
    <w:rsid w:val="00B23FAC"/>
    <w:rsid w:val="00B252AB"/>
    <w:rsid w:val="00B25462"/>
    <w:rsid w:val="00B2619A"/>
    <w:rsid w:val="00B31539"/>
    <w:rsid w:val="00B31761"/>
    <w:rsid w:val="00B342EB"/>
    <w:rsid w:val="00B34E52"/>
    <w:rsid w:val="00B364D8"/>
    <w:rsid w:val="00B373AA"/>
    <w:rsid w:val="00B42430"/>
    <w:rsid w:val="00B43580"/>
    <w:rsid w:val="00B458BA"/>
    <w:rsid w:val="00B45F32"/>
    <w:rsid w:val="00B47F10"/>
    <w:rsid w:val="00B5119C"/>
    <w:rsid w:val="00B52C86"/>
    <w:rsid w:val="00B56440"/>
    <w:rsid w:val="00B5705F"/>
    <w:rsid w:val="00B60287"/>
    <w:rsid w:val="00B67ED0"/>
    <w:rsid w:val="00B723DE"/>
    <w:rsid w:val="00B737FA"/>
    <w:rsid w:val="00B801EE"/>
    <w:rsid w:val="00B80357"/>
    <w:rsid w:val="00B81B62"/>
    <w:rsid w:val="00B822F7"/>
    <w:rsid w:val="00B9133E"/>
    <w:rsid w:val="00B91EC1"/>
    <w:rsid w:val="00B92418"/>
    <w:rsid w:val="00B93430"/>
    <w:rsid w:val="00BA0A81"/>
    <w:rsid w:val="00BA0C2C"/>
    <w:rsid w:val="00BA33DA"/>
    <w:rsid w:val="00BA5258"/>
    <w:rsid w:val="00BA5FEB"/>
    <w:rsid w:val="00BB3AEE"/>
    <w:rsid w:val="00BB7B63"/>
    <w:rsid w:val="00BC05AD"/>
    <w:rsid w:val="00BC1012"/>
    <w:rsid w:val="00BC2176"/>
    <w:rsid w:val="00BC3DA9"/>
    <w:rsid w:val="00BC40A0"/>
    <w:rsid w:val="00BC4D39"/>
    <w:rsid w:val="00BC5A9C"/>
    <w:rsid w:val="00BC76B9"/>
    <w:rsid w:val="00BD07E8"/>
    <w:rsid w:val="00BD311E"/>
    <w:rsid w:val="00BD5B10"/>
    <w:rsid w:val="00BD64D5"/>
    <w:rsid w:val="00BF0AD0"/>
    <w:rsid w:val="00BF252A"/>
    <w:rsid w:val="00BF4E95"/>
    <w:rsid w:val="00C002EC"/>
    <w:rsid w:val="00C01152"/>
    <w:rsid w:val="00C012AA"/>
    <w:rsid w:val="00C076E6"/>
    <w:rsid w:val="00C13D9B"/>
    <w:rsid w:val="00C13EAB"/>
    <w:rsid w:val="00C148C8"/>
    <w:rsid w:val="00C14CE5"/>
    <w:rsid w:val="00C15C93"/>
    <w:rsid w:val="00C2315A"/>
    <w:rsid w:val="00C26272"/>
    <w:rsid w:val="00C265A8"/>
    <w:rsid w:val="00C31AC8"/>
    <w:rsid w:val="00C34311"/>
    <w:rsid w:val="00C40C18"/>
    <w:rsid w:val="00C4271D"/>
    <w:rsid w:val="00C45317"/>
    <w:rsid w:val="00C52A48"/>
    <w:rsid w:val="00C52F7C"/>
    <w:rsid w:val="00C53DF7"/>
    <w:rsid w:val="00C54305"/>
    <w:rsid w:val="00C57824"/>
    <w:rsid w:val="00C57EE7"/>
    <w:rsid w:val="00C61591"/>
    <w:rsid w:val="00C636B7"/>
    <w:rsid w:val="00C65491"/>
    <w:rsid w:val="00C74BC3"/>
    <w:rsid w:val="00C804B6"/>
    <w:rsid w:val="00C80B8E"/>
    <w:rsid w:val="00C80DE7"/>
    <w:rsid w:val="00C81D87"/>
    <w:rsid w:val="00C87627"/>
    <w:rsid w:val="00C90542"/>
    <w:rsid w:val="00CA0554"/>
    <w:rsid w:val="00CA05AB"/>
    <w:rsid w:val="00CA3CE1"/>
    <w:rsid w:val="00CA7B2C"/>
    <w:rsid w:val="00CB1740"/>
    <w:rsid w:val="00CB6A89"/>
    <w:rsid w:val="00CC01EB"/>
    <w:rsid w:val="00CC1B2F"/>
    <w:rsid w:val="00CC5E42"/>
    <w:rsid w:val="00CC6705"/>
    <w:rsid w:val="00CC679C"/>
    <w:rsid w:val="00CD1A10"/>
    <w:rsid w:val="00CD3098"/>
    <w:rsid w:val="00CD6460"/>
    <w:rsid w:val="00CD6FB8"/>
    <w:rsid w:val="00CE354D"/>
    <w:rsid w:val="00CE49E4"/>
    <w:rsid w:val="00CE51C3"/>
    <w:rsid w:val="00CE6A61"/>
    <w:rsid w:val="00CE7C03"/>
    <w:rsid w:val="00CF2FDA"/>
    <w:rsid w:val="00CF312F"/>
    <w:rsid w:val="00CF332B"/>
    <w:rsid w:val="00CF43EB"/>
    <w:rsid w:val="00CF66A6"/>
    <w:rsid w:val="00D005AA"/>
    <w:rsid w:val="00D01784"/>
    <w:rsid w:val="00D04E3F"/>
    <w:rsid w:val="00D1043F"/>
    <w:rsid w:val="00D13403"/>
    <w:rsid w:val="00D16CC2"/>
    <w:rsid w:val="00D20D69"/>
    <w:rsid w:val="00D248CC"/>
    <w:rsid w:val="00D2549B"/>
    <w:rsid w:val="00D26882"/>
    <w:rsid w:val="00D357BE"/>
    <w:rsid w:val="00D40660"/>
    <w:rsid w:val="00D424E8"/>
    <w:rsid w:val="00D433CA"/>
    <w:rsid w:val="00D4441D"/>
    <w:rsid w:val="00D479AD"/>
    <w:rsid w:val="00D50067"/>
    <w:rsid w:val="00D5599B"/>
    <w:rsid w:val="00D671EB"/>
    <w:rsid w:val="00D701F1"/>
    <w:rsid w:val="00D7051E"/>
    <w:rsid w:val="00D80EC5"/>
    <w:rsid w:val="00D813E7"/>
    <w:rsid w:val="00D818A7"/>
    <w:rsid w:val="00D81A14"/>
    <w:rsid w:val="00D82758"/>
    <w:rsid w:val="00D841F2"/>
    <w:rsid w:val="00D913D9"/>
    <w:rsid w:val="00D9158B"/>
    <w:rsid w:val="00D94CF3"/>
    <w:rsid w:val="00D9576F"/>
    <w:rsid w:val="00D97819"/>
    <w:rsid w:val="00DA3F17"/>
    <w:rsid w:val="00DB46F1"/>
    <w:rsid w:val="00DC10AC"/>
    <w:rsid w:val="00DC111C"/>
    <w:rsid w:val="00DC2056"/>
    <w:rsid w:val="00DC2B10"/>
    <w:rsid w:val="00DC7572"/>
    <w:rsid w:val="00DD2509"/>
    <w:rsid w:val="00DD2C77"/>
    <w:rsid w:val="00DD4068"/>
    <w:rsid w:val="00DD7F8C"/>
    <w:rsid w:val="00DD7F8F"/>
    <w:rsid w:val="00DE1A92"/>
    <w:rsid w:val="00DF020A"/>
    <w:rsid w:val="00DF08D9"/>
    <w:rsid w:val="00DF231A"/>
    <w:rsid w:val="00DF2744"/>
    <w:rsid w:val="00DF383D"/>
    <w:rsid w:val="00DF66C9"/>
    <w:rsid w:val="00E030FB"/>
    <w:rsid w:val="00E07C60"/>
    <w:rsid w:val="00E10417"/>
    <w:rsid w:val="00E12D40"/>
    <w:rsid w:val="00E15D35"/>
    <w:rsid w:val="00E262A7"/>
    <w:rsid w:val="00E316E2"/>
    <w:rsid w:val="00E31A14"/>
    <w:rsid w:val="00E32CD6"/>
    <w:rsid w:val="00E33E8D"/>
    <w:rsid w:val="00E36DD1"/>
    <w:rsid w:val="00E37855"/>
    <w:rsid w:val="00E40542"/>
    <w:rsid w:val="00E41CDF"/>
    <w:rsid w:val="00E41F2B"/>
    <w:rsid w:val="00E43D18"/>
    <w:rsid w:val="00E4765A"/>
    <w:rsid w:val="00E54CD3"/>
    <w:rsid w:val="00E5531E"/>
    <w:rsid w:val="00E57B96"/>
    <w:rsid w:val="00E61B46"/>
    <w:rsid w:val="00E634AE"/>
    <w:rsid w:val="00E71EFD"/>
    <w:rsid w:val="00E72FB5"/>
    <w:rsid w:val="00E76673"/>
    <w:rsid w:val="00E766DB"/>
    <w:rsid w:val="00E810DE"/>
    <w:rsid w:val="00E82031"/>
    <w:rsid w:val="00E843C9"/>
    <w:rsid w:val="00E8527B"/>
    <w:rsid w:val="00E906B1"/>
    <w:rsid w:val="00E91646"/>
    <w:rsid w:val="00E974CF"/>
    <w:rsid w:val="00EA1C81"/>
    <w:rsid w:val="00EB437B"/>
    <w:rsid w:val="00EC0DD7"/>
    <w:rsid w:val="00EC6306"/>
    <w:rsid w:val="00EC71DF"/>
    <w:rsid w:val="00ED44BB"/>
    <w:rsid w:val="00ED7899"/>
    <w:rsid w:val="00EF3545"/>
    <w:rsid w:val="00EF3C15"/>
    <w:rsid w:val="00EF52B9"/>
    <w:rsid w:val="00EF5E82"/>
    <w:rsid w:val="00F0311A"/>
    <w:rsid w:val="00F03620"/>
    <w:rsid w:val="00F044A5"/>
    <w:rsid w:val="00F04C7F"/>
    <w:rsid w:val="00F073D9"/>
    <w:rsid w:val="00F07EB7"/>
    <w:rsid w:val="00F117D7"/>
    <w:rsid w:val="00F139BB"/>
    <w:rsid w:val="00F16EBE"/>
    <w:rsid w:val="00F30280"/>
    <w:rsid w:val="00F30B21"/>
    <w:rsid w:val="00F35885"/>
    <w:rsid w:val="00F400EE"/>
    <w:rsid w:val="00F47D05"/>
    <w:rsid w:val="00F50E22"/>
    <w:rsid w:val="00F53551"/>
    <w:rsid w:val="00F54222"/>
    <w:rsid w:val="00F60AB2"/>
    <w:rsid w:val="00F648DE"/>
    <w:rsid w:val="00F73FB9"/>
    <w:rsid w:val="00F76459"/>
    <w:rsid w:val="00F81DB1"/>
    <w:rsid w:val="00F85FDA"/>
    <w:rsid w:val="00FA088E"/>
    <w:rsid w:val="00FA200F"/>
    <w:rsid w:val="00FA5852"/>
    <w:rsid w:val="00FA68FB"/>
    <w:rsid w:val="00FA694D"/>
    <w:rsid w:val="00FB14EE"/>
    <w:rsid w:val="00FB304C"/>
    <w:rsid w:val="00FB6D8A"/>
    <w:rsid w:val="00FC0AEF"/>
    <w:rsid w:val="00FC0FFD"/>
    <w:rsid w:val="00FC29B2"/>
    <w:rsid w:val="00FC320E"/>
    <w:rsid w:val="00FC3CA1"/>
    <w:rsid w:val="00FC7706"/>
    <w:rsid w:val="00FC774C"/>
    <w:rsid w:val="00FD0505"/>
    <w:rsid w:val="00FD1B1E"/>
    <w:rsid w:val="00FD3595"/>
    <w:rsid w:val="00FD3A48"/>
    <w:rsid w:val="00FD466D"/>
    <w:rsid w:val="00FD4ADB"/>
    <w:rsid w:val="00FD5647"/>
    <w:rsid w:val="00FD57A1"/>
    <w:rsid w:val="00FD6F9B"/>
    <w:rsid w:val="00FD7A05"/>
    <w:rsid w:val="00FE20D1"/>
    <w:rsid w:val="00FE2915"/>
    <w:rsid w:val="00FE39D7"/>
    <w:rsid w:val="00FE623D"/>
    <w:rsid w:val="00FE66C2"/>
    <w:rsid w:val="00FF019E"/>
    <w:rsid w:val="00FF2D34"/>
    <w:rsid w:val="00FF37A1"/>
    <w:rsid w:val="00FF3876"/>
    <w:rsid w:val="00FF7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6881C6-24EE-4979-BDA6-7138BA9C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spacing w:before="60"/>
      <w:outlineLvl w:val="0"/>
    </w:pPr>
    <w:rPr>
      <w:rFonts w:ascii="Verdana" w:hAnsi="Verdana"/>
      <w:i/>
      <w:lang w:val="x-none" w:eastAsia="x-none"/>
    </w:rPr>
  </w:style>
  <w:style w:type="paragraph" w:styleId="Nagwek2">
    <w:name w:val="heading 2"/>
    <w:basedOn w:val="Normalny"/>
    <w:next w:val="Normalny"/>
    <w:qFormat/>
    <w:pPr>
      <w:keepNext/>
      <w:spacing w:before="80"/>
      <w:outlineLvl w:val="1"/>
    </w:pPr>
    <w:rPr>
      <w:rFonts w:ascii="Verdana" w:hAnsi="Verdana"/>
      <w:b/>
    </w:rPr>
  </w:style>
  <w:style w:type="paragraph" w:styleId="Nagwek3">
    <w:name w:val="heading 3"/>
    <w:basedOn w:val="Normalny"/>
    <w:next w:val="Normalny"/>
    <w:qFormat/>
    <w:pPr>
      <w:keepNext/>
      <w:spacing w:before="120" w:after="120"/>
      <w:jc w:val="both"/>
      <w:outlineLvl w:val="2"/>
    </w:pPr>
    <w:rPr>
      <w:rFonts w:ascii="Verdana" w:hAnsi="Verdana"/>
      <w:b/>
      <w:lang w:val="de-DE"/>
    </w:rPr>
  </w:style>
  <w:style w:type="paragraph" w:styleId="Nagwek4">
    <w:name w:val="heading 4"/>
    <w:basedOn w:val="Normalny"/>
    <w:next w:val="Normalny"/>
    <w:qFormat/>
    <w:pPr>
      <w:keepNext/>
      <w:spacing w:before="80"/>
      <w:jc w:val="center"/>
      <w:outlineLvl w:val="3"/>
    </w:pPr>
    <w:rPr>
      <w:rFonts w:ascii="Verdana" w:hAnsi="Verdana"/>
      <w:b/>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pPr>
      <w:spacing w:before="120" w:after="120"/>
    </w:pPr>
    <w:rPr>
      <w:rFonts w:ascii="Verdana" w:hAnsi="Verdana"/>
      <w:b/>
      <w:lang w:val="de-DE"/>
    </w:rPr>
  </w:style>
  <w:style w:type="paragraph" w:styleId="Tekstpodstawowy2">
    <w:name w:val="Body Text 2"/>
    <w:basedOn w:val="Normalny"/>
    <w:pPr>
      <w:jc w:val="both"/>
    </w:pPr>
    <w:rPr>
      <w:rFonts w:ascii="Arial" w:hAnsi="Arial"/>
      <w:color w:val="000000"/>
      <w:sz w:val="22"/>
    </w:rPr>
  </w:style>
  <w:style w:type="paragraph" w:styleId="Tekstpodstawowy3">
    <w:name w:val="Body Text 3"/>
    <w:basedOn w:val="Normalny"/>
    <w:pPr>
      <w:spacing w:before="120" w:after="120"/>
      <w:jc w:val="both"/>
    </w:pPr>
    <w:rPr>
      <w:rFonts w:ascii="Verdana" w:hAnsi="Verdana"/>
      <w:color w:val="000000"/>
    </w:rPr>
  </w:style>
  <w:style w:type="paragraph" w:styleId="Zwykytekst">
    <w:name w:val="Plain Text"/>
    <w:basedOn w:val="Normalny"/>
    <w:link w:val="ZwykytekstZnak"/>
    <w:rPr>
      <w:rFonts w:ascii="Courier New" w:hAnsi="Courier New"/>
    </w:rPr>
  </w:style>
  <w:style w:type="paragraph" w:styleId="Nagwek">
    <w:name w:val="header"/>
    <w:basedOn w:val="Normalny"/>
    <w:link w:val="NagwekZnak"/>
    <w:pPr>
      <w:tabs>
        <w:tab w:val="center" w:pos="4536"/>
        <w:tab w:val="right" w:pos="9072"/>
      </w:tabs>
    </w:pPr>
  </w:style>
  <w:style w:type="character" w:styleId="Hipercze">
    <w:name w:val="Hyperlink"/>
    <w:uiPriority w:val="99"/>
    <w:rsid w:val="005D2C88"/>
    <w:rPr>
      <w:color w:val="0000FF"/>
      <w:u w:val="single"/>
    </w:rPr>
  </w:style>
  <w:style w:type="paragraph" w:styleId="NormalnyWeb">
    <w:name w:val="Normal (Web)"/>
    <w:basedOn w:val="Normalny"/>
    <w:uiPriority w:val="99"/>
    <w:rsid w:val="005D2C88"/>
    <w:pPr>
      <w:spacing w:before="100" w:beforeAutospacing="1" w:after="100" w:afterAutospacing="1"/>
      <w:jc w:val="both"/>
    </w:pPr>
  </w:style>
  <w:style w:type="paragraph" w:styleId="Tekstdymka">
    <w:name w:val="Balloon Text"/>
    <w:basedOn w:val="Normalny"/>
    <w:semiHidden/>
    <w:rsid w:val="00D20D69"/>
    <w:rPr>
      <w:rFonts w:ascii="Tahoma" w:hAnsi="Tahoma" w:cs="Tahoma"/>
      <w:sz w:val="16"/>
      <w:szCs w:val="16"/>
    </w:rPr>
  </w:style>
  <w:style w:type="paragraph" w:styleId="Stopka">
    <w:name w:val="footer"/>
    <w:basedOn w:val="Normalny"/>
    <w:link w:val="StopkaZnak"/>
    <w:uiPriority w:val="99"/>
    <w:rsid w:val="005278E9"/>
    <w:pPr>
      <w:tabs>
        <w:tab w:val="center" w:pos="4536"/>
        <w:tab w:val="right" w:pos="9072"/>
      </w:tabs>
    </w:pPr>
  </w:style>
  <w:style w:type="paragraph" w:styleId="Tekstpodstawowywcity">
    <w:name w:val="Body Text Indent"/>
    <w:basedOn w:val="Normalny"/>
    <w:link w:val="TekstpodstawowywcityZnak"/>
    <w:rsid w:val="00A078A0"/>
    <w:pPr>
      <w:spacing w:after="120"/>
      <w:ind w:left="283"/>
    </w:pPr>
  </w:style>
  <w:style w:type="paragraph" w:styleId="Tekstpodstawowyzwciciem2">
    <w:name w:val="Body Text First Indent 2"/>
    <w:basedOn w:val="Tekstpodstawowywcity"/>
    <w:rsid w:val="00A078A0"/>
    <w:pPr>
      <w:ind w:firstLine="210"/>
    </w:pPr>
  </w:style>
  <w:style w:type="paragraph" w:styleId="Tytu">
    <w:name w:val="Title"/>
    <w:basedOn w:val="Normalny"/>
    <w:link w:val="TytuZnak"/>
    <w:qFormat/>
    <w:rsid w:val="00C15C93"/>
    <w:pPr>
      <w:tabs>
        <w:tab w:val="center" w:pos="4536"/>
        <w:tab w:val="left" w:pos="5955"/>
      </w:tabs>
      <w:suppressAutoHyphens/>
      <w:spacing w:line="360" w:lineRule="auto"/>
      <w:jc w:val="center"/>
    </w:pPr>
    <w:rPr>
      <w:rFonts w:ascii="Verdana" w:hAnsi="Verdana" w:cs="Arial"/>
      <w:b/>
      <w:sz w:val="24"/>
      <w:szCs w:val="24"/>
    </w:rPr>
  </w:style>
  <w:style w:type="table" w:styleId="Tabela-Siatka">
    <w:name w:val="Table Grid"/>
    <w:basedOn w:val="Standardowy"/>
    <w:rsid w:val="00827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4">
    <w:name w:val="arial14"/>
    <w:basedOn w:val="Normalny"/>
    <w:rsid w:val="001F49C7"/>
    <w:pPr>
      <w:spacing w:before="100" w:beforeAutospacing="1" w:after="100" w:afterAutospacing="1"/>
    </w:pPr>
    <w:rPr>
      <w:sz w:val="24"/>
      <w:szCs w:val="24"/>
    </w:rPr>
  </w:style>
  <w:style w:type="character" w:customStyle="1" w:styleId="arial141">
    <w:name w:val="arial141"/>
    <w:basedOn w:val="Domylnaczcionkaakapitu"/>
    <w:rsid w:val="001F49C7"/>
  </w:style>
  <w:style w:type="paragraph" w:styleId="Tekstpodstawowywcity3">
    <w:name w:val="Body Text Indent 3"/>
    <w:basedOn w:val="Normalny"/>
    <w:rsid w:val="00A952B7"/>
    <w:pPr>
      <w:spacing w:after="120"/>
      <w:ind w:left="283"/>
    </w:pPr>
    <w:rPr>
      <w:sz w:val="16"/>
      <w:szCs w:val="16"/>
    </w:rPr>
  </w:style>
  <w:style w:type="character" w:customStyle="1" w:styleId="TytuZnak">
    <w:name w:val="Tytuł Znak"/>
    <w:link w:val="Tytu"/>
    <w:rsid w:val="00C15C93"/>
    <w:rPr>
      <w:rFonts w:ascii="Verdana" w:hAnsi="Verdana" w:cs="Arial"/>
      <w:b/>
      <w:sz w:val="24"/>
      <w:szCs w:val="24"/>
    </w:rPr>
  </w:style>
  <w:style w:type="paragraph" w:styleId="Tekstprzypisudolnego">
    <w:name w:val="footnote text"/>
    <w:aliases w:val="WKB_Tekst przypisu dolnego"/>
    <w:basedOn w:val="Normalny"/>
    <w:link w:val="TekstprzypisudolnegoZnak"/>
    <w:uiPriority w:val="99"/>
    <w:semiHidden/>
    <w:rsid w:val="00BC76B9"/>
  </w:style>
  <w:style w:type="character" w:styleId="Odwoanieprzypisudolnego">
    <w:name w:val="footnote reference"/>
    <w:aliases w:val="Footnote symbol"/>
    <w:uiPriority w:val="99"/>
    <w:semiHidden/>
    <w:rsid w:val="00BC76B9"/>
    <w:rPr>
      <w:vertAlign w:val="superscript"/>
    </w:rPr>
  </w:style>
  <w:style w:type="paragraph" w:customStyle="1" w:styleId="ZnakZnakZnakZnak">
    <w:name w:val=" Znak Znak Znak Znak"/>
    <w:basedOn w:val="Normalny"/>
    <w:rsid w:val="00E262A7"/>
    <w:rPr>
      <w:sz w:val="24"/>
      <w:szCs w:val="24"/>
    </w:rPr>
  </w:style>
  <w:style w:type="character" w:styleId="Pogrubienie">
    <w:name w:val="Strong"/>
    <w:qFormat/>
    <w:rsid w:val="00E262A7"/>
    <w:rPr>
      <w:b/>
      <w:bCs/>
    </w:rPr>
  </w:style>
  <w:style w:type="paragraph" w:customStyle="1" w:styleId="ZnakZnakZnakZnak0">
    <w:name w:val="Znak Znak Znak Znak"/>
    <w:basedOn w:val="Normalny"/>
    <w:rsid w:val="001E26BC"/>
    <w:rPr>
      <w:sz w:val="24"/>
      <w:szCs w:val="24"/>
    </w:rPr>
  </w:style>
  <w:style w:type="paragraph" w:customStyle="1" w:styleId="ListParagraph">
    <w:name w:val="List Paragraph"/>
    <w:basedOn w:val="Normalny"/>
    <w:rsid w:val="00DF2744"/>
    <w:pPr>
      <w:ind w:left="720"/>
    </w:pPr>
    <w:rPr>
      <w:sz w:val="24"/>
    </w:rPr>
  </w:style>
  <w:style w:type="character" w:customStyle="1" w:styleId="ZwykytekstZnak">
    <w:name w:val="Zwykły tekst Znak"/>
    <w:link w:val="Zwykytekst"/>
    <w:semiHidden/>
    <w:locked/>
    <w:rsid w:val="00DF2744"/>
    <w:rPr>
      <w:rFonts w:ascii="Courier New" w:hAnsi="Courier New"/>
      <w:lang w:val="pl-PL" w:eastAsia="pl-PL" w:bidi="ar-SA"/>
    </w:rPr>
  </w:style>
  <w:style w:type="paragraph" w:customStyle="1" w:styleId="Znak2ZnakZnakZnakZnakZnakZnakZnakZnakZnakZnakZnakZnakZnakZnakZnakZnakZnakZnakZnakZnakZnakZnakZnakZnak">
    <w:name w:val=" Znak2 Znak Znak Znak Znak Znak Znak Znak Znak Znak Znak Znak Znak Znak Znak Znak Znak Znak Znak Znak Znak Znak Znak Znak Znak"/>
    <w:basedOn w:val="Normalny"/>
    <w:rsid w:val="00DF2744"/>
    <w:rPr>
      <w:sz w:val="24"/>
      <w:szCs w:val="24"/>
    </w:rPr>
  </w:style>
  <w:style w:type="paragraph" w:customStyle="1" w:styleId="Znak">
    <w:name w:val=" Znak"/>
    <w:basedOn w:val="Normalny"/>
    <w:rsid w:val="006B1F2B"/>
    <w:pPr>
      <w:spacing w:after="160" w:line="240" w:lineRule="exact"/>
    </w:pPr>
    <w:rPr>
      <w:rFonts w:ascii="Verdana" w:hAnsi="Verdana"/>
      <w:lang w:val="en-US" w:eastAsia="en-US"/>
    </w:rPr>
  </w:style>
  <w:style w:type="character" w:customStyle="1" w:styleId="NagwekZnak">
    <w:name w:val="Nagłówek Znak"/>
    <w:link w:val="Nagwek"/>
    <w:rsid w:val="00060630"/>
  </w:style>
  <w:style w:type="paragraph" w:customStyle="1" w:styleId="Standard">
    <w:name w:val="Standard"/>
    <w:rsid w:val="00060630"/>
    <w:pPr>
      <w:suppressAutoHyphens/>
      <w:autoSpaceDN w:val="0"/>
      <w:textAlignment w:val="baseline"/>
    </w:pPr>
    <w:rPr>
      <w:kern w:val="3"/>
      <w:sz w:val="24"/>
      <w:szCs w:val="24"/>
    </w:rPr>
  </w:style>
  <w:style w:type="paragraph" w:styleId="Akapitzlist">
    <w:name w:val="List Paragraph"/>
    <w:basedOn w:val="Normalny"/>
    <w:uiPriority w:val="99"/>
    <w:qFormat/>
    <w:rsid w:val="00A84EC1"/>
    <w:pPr>
      <w:spacing w:before="120"/>
      <w:ind w:left="720"/>
      <w:contextualSpacing/>
      <w:jc w:val="both"/>
    </w:pPr>
    <w:rPr>
      <w:rFonts w:ascii="Verdana" w:eastAsia="Calibri" w:hAnsi="Verdana"/>
      <w:szCs w:val="22"/>
    </w:rPr>
  </w:style>
  <w:style w:type="character" w:styleId="Numerstrony">
    <w:name w:val="page number"/>
    <w:basedOn w:val="Domylnaczcionkaakapitu"/>
    <w:rsid w:val="004F4F29"/>
  </w:style>
  <w:style w:type="character" w:customStyle="1" w:styleId="StopkaZnak">
    <w:name w:val="Stopka Znak"/>
    <w:basedOn w:val="Domylnaczcionkaakapitu"/>
    <w:link w:val="Stopka"/>
    <w:uiPriority w:val="99"/>
    <w:rsid w:val="006D2956"/>
  </w:style>
  <w:style w:type="character" w:customStyle="1" w:styleId="Nagwek1Znak">
    <w:name w:val="Nagłówek 1 Znak"/>
    <w:link w:val="Nagwek1"/>
    <w:rsid w:val="001433BF"/>
    <w:rPr>
      <w:rFonts w:ascii="Verdana" w:hAnsi="Verdana"/>
      <w:i/>
    </w:rPr>
  </w:style>
  <w:style w:type="character" w:customStyle="1" w:styleId="TekstpodstawowywcityZnak">
    <w:name w:val="Tekst podstawowy wcięty Znak"/>
    <w:link w:val="Tekstpodstawowywcity"/>
    <w:rsid w:val="00FD3595"/>
  </w:style>
  <w:style w:type="paragraph" w:styleId="Tekstprzypisukocowego">
    <w:name w:val="endnote text"/>
    <w:basedOn w:val="Normalny"/>
    <w:link w:val="TekstprzypisukocowegoZnak"/>
    <w:rsid w:val="009E2127"/>
  </w:style>
  <w:style w:type="character" w:customStyle="1" w:styleId="TekstprzypisukocowegoZnak">
    <w:name w:val="Tekst przypisu końcowego Znak"/>
    <w:basedOn w:val="Domylnaczcionkaakapitu"/>
    <w:link w:val="Tekstprzypisukocowego"/>
    <w:rsid w:val="009E2127"/>
  </w:style>
  <w:style w:type="character" w:styleId="Odwoanieprzypisukocowego">
    <w:name w:val="endnote reference"/>
    <w:rsid w:val="009E2127"/>
    <w:rPr>
      <w:vertAlign w:val="superscript"/>
    </w:rPr>
  </w:style>
  <w:style w:type="paragraph" w:customStyle="1" w:styleId="tekst">
    <w:name w:val="tekst"/>
    <w:basedOn w:val="Normalny"/>
    <w:uiPriority w:val="99"/>
    <w:rsid w:val="009C7046"/>
    <w:pPr>
      <w:widowControl w:val="0"/>
      <w:autoSpaceDE w:val="0"/>
      <w:autoSpaceDN w:val="0"/>
      <w:adjustRightInd w:val="0"/>
      <w:spacing w:line="256" w:lineRule="atLeast"/>
      <w:ind w:firstLine="567"/>
      <w:jc w:val="both"/>
      <w:textAlignment w:val="center"/>
    </w:pPr>
    <w:rPr>
      <w:rFonts w:ascii="ZapfCalligr TL" w:hAnsi="ZapfCalligr TL" w:cs="ZapfCalligr TL"/>
      <w:color w:val="000000"/>
      <w:w w:val="90"/>
      <w:sz w:val="22"/>
      <w:szCs w:val="22"/>
    </w:rPr>
  </w:style>
  <w:style w:type="paragraph" w:customStyle="1" w:styleId="lista1-wyliczeniowawyliczenieNORMAL1">
    <w:name w:val="*lista1-wyliczeniowa_wyliczenie_NORMAL1"/>
    <w:basedOn w:val="Normalny"/>
    <w:uiPriority w:val="99"/>
    <w:rsid w:val="009C7046"/>
    <w:pPr>
      <w:widowControl w:val="0"/>
      <w:tabs>
        <w:tab w:val="left" w:pos="320"/>
        <w:tab w:val="left" w:pos="560"/>
      </w:tabs>
      <w:autoSpaceDE w:val="0"/>
      <w:autoSpaceDN w:val="0"/>
      <w:adjustRightInd w:val="0"/>
      <w:spacing w:line="256" w:lineRule="atLeast"/>
      <w:ind w:left="567" w:hanging="567"/>
      <w:jc w:val="both"/>
      <w:textAlignment w:val="center"/>
    </w:pPr>
    <w:rPr>
      <w:rFonts w:ascii="ZapfCalligr TL" w:hAnsi="ZapfCalligr TL" w:cs="ZapfCalligr TL"/>
      <w:color w:val="000000"/>
      <w:w w:val="90"/>
      <w:sz w:val="22"/>
      <w:szCs w:val="22"/>
    </w:rPr>
  </w:style>
  <w:style w:type="character" w:customStyle="1" w:styleId="TekstprzypisudolnegoZnak">
    <w:name w:val="Tekst przypisu dolnego Znak"/>
    <w:aliases w:val="WKB_Tekst przypisu dolnego Znak"/>
    <w:basedOn w:val="Domylnaczcionkaakapitu"/>
    <w:link w:val="Tekstprzypisudolnego"/>
    <w:uiPriority w:val="99"/>
    <w:semiHidden/>
    <w:locked/>
    <w:rsid w:val="00F47D05"/>
  </w:style>
  <w:style w:type="character" w:styleId="Uwydatnienie">
    <w:name w:val="Emphasis"/>
    <w:uiPriority w:val="20"/>
    <w:qFormat/>
    <w:rsid w:val="00F47D05"/>
    <w:rPr>
      <w:i/>
      <w:iCs/>
    </w:rPr>
  </w:style>
  <w:style w:type="paragraph" w:customStyle="1" w:styleId="Default">
    <w:name w:val="Default"/>
    <w:rsid w:val="00C80B8E"/>
    <w:pPr>
      <w:autoSpaceDE w:val="0"/>
      <w:autoSpaceDN w:val="0"/>
      <w:adjustRightInd w:val="0"/>
    </w:pPr>
    <w:rPr>
      <w:color w:val="000000"/>
      <w:sz w:val="24"/>
      <w:szCs w:val="24"/>
    </w:rPr>
  </w:style>
  <w:style w:type="paragraph" w:customStyle="1" w:styleId="CM1">
    <w:name w:val="CM1"/>
    <w:basedOn w:val="Default"/>
    <w:next w:val="Default"/>
    <w:uiPriority w:val="99"/>
    <w:rsid w:val="00C80B8E"/>
    <w:rPr>
      <w:rFonts w:ascii="EUAlbertina" w:hAnsi="EUAlbertina"/>
      <w:color w:val="auto"/>
    </w:rPr>
  </w:style>
  <w:style w:type="paragraph" w:customStyle="1" w:styleId="CM3">
    <w:name w:val="CM3"/>
    <w:basedOn w:val="Default"/>
    <w:next w:val="Default"/>
    <w:uiPriority w:val="99"/>
    <w:rsid w:val="00C80B8E"/>
    <w:rPr>
      <w:rFonts w:ascii="EUAlbertina" w:hAnsi="EUAlbertina"/>
      <w:color w:val="auto"/>
    </w:rPr>
  </w:style>
  <w:style w:type="paragraph" w:customStyle="1" w:styleId="CM4">
    <w:name w:val="CM4"/>
    <w:basedOn w:val="Default"/>
    <w:next w:val="Default"/>
    <w:uiPriority w:val="99"/>
    <w:rsid w:val="00C80B8E"/>
    <w:rPr>
      <w:rFonts w:ascii="EUAlbertina" w:hAnsi="EUAlberti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0155">
      <w:bodyDiv w:val="1"/>
      <w:marLeft w:val="0"/>
      <w:marRight w:val="0"/>
      <w:marTop w:val="0"/>
      <w:marBottom w:val="0"/>
      <w:divBdr>
        <w:top w:val="none" w:sz="0" w:space="0" w:color="auto"/>
        <w:left w:val="none" w:sz="0" w:space="0" w:color="auto"/>
        <w:bottom w:val="none" w:sz="0" w:space="0" w:color="auto"/>
        <w:right w:val="none" w:sz="0" w:space="0" w:color="auto"/>
      </w:divBdr>
    </w:div>
    <w:div w:id="20863789">
      <w:bodyDiv w:val="1"/>
      <w:marLeft w:val="0"/>
      <w:marRight w:val="0"/>
      <w:marTop w:val="0"/>
      <w:marBottom w:val="0"/>
      <w:divBdr>
        <w:top w:val="none" w:sz="0" w:space="0" w:color="auto"/>
        <w:left w:val="none" w:sz="0" w:space="0" w:color="auto"/>
        <w:bottom w:val="none" w:sz="0" w:space="0" w:color="auto"/>
        <w:right w:val="none" w:sz="0" w:space="0" w:color="auto"/>
      </w:divBdr>
    </w:div>
    <w:div w:id="53700445">
      <w:bodyDiv w:val="1"/>
      <w:marLeft w:val="0"/>
      <w:marRight w:val="0"/>
      <w:marTop w:val="0"/>
      <w:marBottom w:val="0"/>
      <w:divBdr>
        <w:top w:val="none" w:sz="0" w:space="0" w:color="auto"/>
        <w:left w:val="none" w:sz="0" w:space="0" w:color="auto"/>
        <w:bottom w:val="none" w:sz="0" w:space="0" w:color="auto"/>
        <w:right w:val="none" w:sz="0" w:space="0" w:color="auto"/>
      </w:divBdr>
      <w:divsChild>
        <w:div w:id="1449466201">
          <w:marLeft w:val="218"/>
          <w:marRight w:val="218"/>
          <w:marTop w:val="218"/>
          <w:marBottom w:val="218"/>
          <w:divBdr>
            <w:top w:val="single" w:sz="8" w:space="11" w:color="28A5B8"/>
            <w:left w:val="single" w:sz="8" w:space="11" w:color="28A5B8"/>
            <w:bottom w:val="single" w:sz="8" w:space="11" w:color="28A5B8"/>
            <w:right w:val="single" w:sz="8" w:space="11" w:color="28A5B8"/>
          </w:divBdr>
          <w:divsChild>
            <w:div w:id="289821821">
              <w:marLeft w:val="0"/>
              <w:marRight w:val="0"/>
              <w:marTop w:val="0"/>
              <w:marBottom w:val="0"/>
              <w:divBdr>
                <w:top w:val="none" w:sz="0" w:space="0" w:color="auto"/>
                <w:left w:val="none" w:sz="0" w:space="0" w:color="auto"/>
                <w:bottom w:val="none" w:sz="0" w:space="0" w:color="auto"/>
                <w:right w:val="none" w:sz="0" w:space="0" w:color="auto"/>
              </w:divBdr>
              <w:divsChild>
                <w:div w:id="695890192">
                  <w:marLeft w:val="0"/>
                  <w:marRight w:val="0"/>
                  <w:marTop w:val="0"/>
                  <w:marBottom w:val="0"/>
                  <w:divBdr>
                    <w:top w:val="none" w:sz="0" w:space="0" w:color="auto"/>
                    <w:left w:val="none" w:sz="0" w:space="0" w:color="auto"/>
                    <w:bottom w:val="none" w:sz="0" w:space="0" w:color="auto"/>
                    <w:right w:val="none" w:sz="0" w:space="0" w:color="auto"/>
                  </w:divBdr>
                  <w:divsChild>
                    <w:div w:id="1176387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1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2089728">
      <w:bodyDiv w:val="1"/>
      <w:marLeft w:val="0"/>
      <w:marRight w:val="0"/>
      <w:marTop w:val="0"/>
      <w:marBottom w:val="0"/>
      <w:divBdr>
        <w:top w:val="none" w:sz="0" w:space="0" w:color="auto"/>
        <w:left w:val="none" w:sz="0" w:space="0" w:color="auto"/>
        <w:bottom w:val="none" w:sz="0" w:space="0" w:color="auto"/>
        <w:right w:val="none" w:sz="0" w:space="0" w:color="auto"/>
      </w:divBdr>
    </w:div>
    <w:div w:id="267855415">
      <w:bodyDiv w:val="1"/>
      <w:marLeft w:val="0"/>
      <w:marRight w:val="0"/>
      <w:marTop w:val="0"/>
      <w:marBottom w:val="0"/>
      <w:divBdr>
        <w:top w:val="none" w:sz="0" w:space="0" w:color="auto"/>
        <w:left w:val="none" w:sz="0" w:space="0" w:color="auto"/>
        <w:bottom w:val="none" w:sz="0" w:space="0" w:color="auto"/>
        <w:right w:val="none" w:sz="0" w:space="0" w:color="auto"/>
      </w:divBdr>
      <w:divsChild>
        <w:div w:id="3930411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774343">
              <w:marLeft w:val="0"/>
              <w:marRight w:val="0"/>
              <w:marTop w:val="0"/>
              <w:marBottom w:val="0"/>
              <w:divBdr>
                <w:top w:val="none" w:sz="0" w:space="0" w:color="auto"/>
                <w:left w:val="none" w:sz="0" w:space="0" w:color="auto"/>
                <w:bottom w:val="none" w:sz="0" w:space="0" w:color="auto"/>
                <w:right w:val="none" w:sz="0" w:space="0" w:color="auto"/>
              </w:divBdr>
            </w:div>
            <w:div w:id="1066075303">
              <w:marLeft w:val="0"/>
              <w:marRight w:val="0"/>
              <w:marTop w:val="0"/>
              <w:marBottom w:val="0"/>
              <w:divBdr>
                <w:top w:val="none" w:sz="0" w:space="0" w:color="auto"/>
                <w:left w:val="none" w:sz="0" w:space="0" w:color="auto"/>
                <w:bottom w:val="none" w:sz="0" w:space="0" w:color="auto"/>
                <w:right w:val="none" w:sz="0" w:space="0" w:color="auto"/>
              </w:divBdr>
            </w:div>
            <w:div w:id="1865556948">
              <w:marLeft w:val="0"/>
              <w:marRight w:val="0"/>
              <w:marTop w:val="0"/>
              <w:marBottom w:val="0"/>
              <w:divBdr>
                <w:top w:val="none" w:sz="0" w:space="0" w:color="auto"/>
                <w:left w:val="none" w:sz="0" w:space="0" w:color="auto"/>
                <w:bottom w:val="none" w:sz="0" w:space="0" w:color="auto"/>
                <w:right w:val="none" w:sz="0" w:space="0" w:color="auto"/>
              </w:divBdr>
            </w:div>
            <w:div w:id="20810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96755">
      <w:bodyDiv w:val="1"/>
      <w:marLeft w:val="0"/>
      <w:marRight w:val="0"/>
      <w:marTop w:val="0"/>
      <w:marBottom w:val="0"/>
      <w:divBdr>
        <w:top w:val="none" w:sz="0" w:space="0" w:color="auto"/>
        <w:left w:val="none" w:sz="0" w:space="0" w:color="auto"/>
        <w:bottom w:val="none" w:sz="0" w:space="0" w:color="auto"/>
        <w:right w:val="none" w:sz="0" w:space="0" w:color="auto"/>
      </w:divBdr>
      <w:divsChild>
        <w:div w:id="1883441480">
          <w:marLeft w:val="0"/>
          <w:marRight w:val="0"/>
          <w:marTop w:val="0"/>
          <w:marBottom w:val="0"/>
          <w:divBdr>
            <w:top w:val="none" w:sz="0" w:space="0" w:color="auto"/>
            <w:left w:val="none" w:sz="0" w:space="0" w:color="auto"/>
            <w:bottom w:val="none" w:sz="0" w:space="0" w:color="auto"/>
            <w:right w:val="none" w:sz="0" w:space="0" w:color="auto"/>
          </w:divBdr>
        </w:div>
      </w:divsChild>
    </w:div>
    <w:div w:id="385492413">
      <w:bodyDiv w:val="1"/>
      <w:marLeft w:val="0"/>
      <w:marRight w:val="0"/>
      <w:marTop w:val="0"/>
      <w:marBottom w:val="0"/>
      <w:divBdr>
        <w:top w:val="none" w:sz="0" w:space="0" w:color="auto"/>
        <w:left w:val="none" w:sz="0" w:space="0" w:color="auto"/>
        <w:bottom w:val="none" w:sz="0" w:space="0" w:color="auto"/>
        <w:right w:val="none" w:sz="0" w:space="0" w:color="auto"/>
      </w:divBdr>
    </w:div>
    <w:div w:id="481430812">
      <w:bodyDiv w:val="1"/>
      <w:marLeft w:val="0"/>
      <w:marRight w:val="0"/>
      <w:marTop w:val="0"/>
      <w:marBottom w:val="0"/>
      <w:divBdr>
        <w:top w:val="none" w:sz="0" w:space="0" w:color="auto"/>
        <w:left w:val="none" w:sz="0" w:space="0" w:color="auto"/>
        <w:bottom w:val="none" w:sz="0" w:space="0" w:color="auto"/>
        <w:right w:val="none" w:sz="0" w:space="0" w:color="auto"/>
      </w:divBdr>
      <w:divsChild>
        <w:div w:id="1854225840">
          <w:marLeft w:val="0"/>
          <w:marRight w:val="0"/>
          <w:marTop w:val="0"/>
          <w:marBottom w:val="0"/>
          <w:divBdr>
            <w:top w:val="none" w:sz="0" w:space="0" w:color="auto"/>
            <w:left w:val="none" w:sz="0" w:space="0" w:color="auto"/>
            <w:bottom w:val="none" w:sz="0" w:space="0" w:color="auto"/>
            <w:right w:val="none" w:sz="0" w:space="0" w:color="auto"/>
          </w:divBdr>
          <w:divsChild>
            <w:div w:id="1396665521">
              <w:marLeft w:val="0"/>
              <w:marRight w:val="0"/>
              <w:marTop w:val="0"/>
              <w:marBottom w:val="0"/>
              <w:divBdr>
                <w:top w:val="none" w:sz="0" w:space="0" w:color="auto"/>
                <w:left w:val="none" w:sz="0" w:space="0" w:color="auto"/>
                <w:bottom w:val="none" w:sz="0" w:space="0" w:color="auto"/>
                <w:right w:val="none" w:sz="0" w:space="0" w:color="auto"/>
              </w:divBdr>
              <w:divsChild>
                <w:div w:id="1823623028">
                  <w:marLeft w:val="-82"/>
                  <w:marRight w:val="-82"/>
                  <w:marTop w:val="0"/>
                  <w:marBottom w:val="0"/>
                  <w:divBdr>
                    <w:top w:val="none" w:sz="0" w:space="0" w:color="auto"/>
                    <w:left w:val="none" w:sz="0" w:space="0" w:color="auto"/>
                    <w:bottom w:val="none" w:sz="0" w:space="0" w:color="auto"/>
                    <w:right w:val="none" w:sz="0" w:space="0" w:color="auto"/>
                  </w:divBdr>
                  <w:divsChild>
                    <w:div w:id="1888685226">
                      <w:marLeft w:val="0"/>
                      <w:marRight w:val="0"/>
                      <w:marTop w:val="0"/>
                      <w:marBottom w:val="0"/>
                      <w:divBdr>
                        <w:top w:val="none" w:sz="0" w:space="0" w:color="auto"/>
                        <w:left w:val="none" w:sz="0" w:space="0" w:color="auto"/>
                        <w:bottom w:val="none" w:sz="0" w:space="0" w:color="auto"/>
                        <w:right w:val="none" w:sz="0" w:space="0" w:color="auto"/>
                      </w:divBdr>
                      <w:divsChild>
                        <w:div w:id="2139257597">
                          <w:marLeft w:val="0"/>
                          <w:marRight w:val="0"/>
                          <w:marTop w:val="0"/>
                          <w:marBottom w:val="0"/>
                          <w:divBdr>
                            <w:top w:val="none" w:sz="0" w:space="0" w:color="auto"/>
                            <w:left w:val="none" w:sz="0" w:space="0" w:color="auto"/>
                            <w:bottom w:val="none" w:sz="0" w:space="0" w:color="auto"/>
                            <w:right w:val="none" w:sz="0" w:space="0" w:color="auto"/>
                          </w:divBdr>
                          <w:divsChild>
                            <w:div w:id="754980512">
                              <w:marLeft w:val="0"/>
                              <w:marRight w:val="0"/>
                              <w:marTop w:val="0"/>
                              <w:marBottom w:val="0"/>
                              <w:divBdr>
                                <w:top w:val="none" w:sz="0" w:space="0" w:color="auto"/>
                                <w:left w:val="none" w:sz="0" w:space="0" w:color="auto"/>
                                <w:bottom w:val="none" w:sz="0" w:space="0" w:color="auto"/>
                                <w:right w:val="none" w:sz="0" w:space="0" w:color="auto"/>
                              </w:divBdr>
                              <w:divsChild>
                                <w:div w:id="1437554702">
                                  <w:marLeft w:val="-82"/>
                                  <w:marRight w:val="-82"/>
                                  <w:marTop w:val="0"/>
                                  <w:marBottom w:val="0"/>
                                  <w:divBdr>
                                    <w:top w:val="none" w:sz="0" w:space="0" w:color="auto"/>
                                    <w:left w:val="none" w:sz="0" w:space="0" w:color="auto"/>
                                    <w:bottom w:val="none" w:sz="0" w:space="0" w:color="auto"/>
                                    <w:right w:val="none" w:sz="0" w:space="0" w:color="auto"/>
                                  </w:divBdr>
                                  <w:divsChild>
                                    <w:div w:id="8679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731550">
      <w:bodyDiv w:val="1"/>
      <w:marLeft w:val="0"/>
      <w:marRight w:val="0"/>
      <w:marTop w:val="0"/>
      <w:marBottom w:val="0"/>
      <w:divBdr>
        <w:top w:val="none" w:sz="0" w:space="0" w:color="auto"/>
        <w:left w:val="none" w:sz="0" w:space="0" w:color="auto"/>
        <w:bottom w:val="none" w:sz="0" w:space="0" w:color="auto"/>
        <w:right w:val="none" w:sz="0" w:space="0" w:color="auto"/>
      </w:divBdr>
    </w:div>
    <w:div w:id="1260913256">
      <w:bodyDiv w:val="1"/>
      <w:marLeft w:val="0"/>
      <w:marRight w:val="0"/>
      <w:marTop w:val="0"/>
      <w:marBottom w:val="0"/>
      <w:divBdr>
        <w:top w:val="none" w:sz="0" w:space="0" w:color="auto"/>
        <w:left w:val="none" w:sz="0" w:space="0" w:color="auto"/>
        <w:bottom w:val="none" w:sz="0" w:space="0" w:color="auto"/>
        <w:right w:val="none" w:sz="0" w:space="0" w:color="auto"/>
      </w:divBdr>
      <w:divsChild>
        <w:div w:id="1945533464">
          <w:marLeft w:val="0"/>
          <w:marRight w:val="0"/>
          <w:marTop w:val="0"/>
          <w:marBottom w:val="0"/>
          <w:divBdr>
            <w:top w:val="none" w:sz="0" w:space="0" w:color="auto"/>
            <w:left w:val="none" w:sz="0" w:space="0" w:color="auto"/>
            <w:bottom w:val="none" w:sz="0" w:space="0" w:color="auto"/>
            <w:right w:val="none" w:sz="0" w:space="0" w:color="auto"/>
          </w:divBdr>
          <w:divsChild>
            <w:div w:id="10121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401">
      <w:bodyDiv w:val="1"/>
      <w:marLeft w:val="0"/>
      <w:marRight w:val="0"/>
      <w:marTop w:val="0"/>
      <w:marBottom w:val="0"/>
      <w:divBdr>
        <w:top w:val="none" w:sz="0" w:space="0" w:color="auto"/>
        <w:left w:val="none" w:sz="0" w:space="0" w:color="auto"/>
        <w:bottom w:val="none" w:sz="0" w:space="0" w:color="auto"/>
        <w:right w:val="none" w:sz="0" w:space="0" w:color="auto"/>
      </w:divBdr>
      <w:divsChild>
        <w:div w:id="1246912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848694">
      <w:bodyDiv w:val="1"/>
      <w:marLeft w:val="0"/>
      <w:marRight w:val="0"/>
      <w:marTop w:val="0"/>
      <w:marBottom w:val="0"/>
      <w:divBdr>
        <w:top w:val="none" w:sz="0" w:space="0" w:color="auto"/>
        <w:left w:val="none" w:sz="0" w:space="0" w:color="auto"/>
        <w:bottom w:val="none" w:sz="0" w:space="0" w:color="auto"/>
        <w:right w:val="none" w:sz="0" w:space="0" w:color="auto"/>
      </w:divBdr>
    </w:div>
    <w:div w:id="1408267927">
      <w:bodyDiv w:val="1"/>
      <w:marLeft w:val="0"/>
      <w:marRight w:val="0"/>
      <w:marTop w:val="0"/>
      <w:marBottom w:val="0"/>
      <w:divBdr>
        <w:top w:val="none" w:sz="0" w:space="0" w:color="auto"/>
        <w:left w:val="none" w:sz="0" w:space="0" w:color="auto"/>
        <w:bottom w:val="none" w:sz="0" w:space="0" w:color="auto"/>
        <w:right w:val="none" w:sz="0" w:space="0" w:color="auto"/>
      </w:divBdr>
    </w:div>
    <w:div w:id="1701932361">
      <w:bodyDiv w:val="1"/>
      <w:marLeft w:val="0"/>
      <w:marRight w:val="0"/>
      <w:marTop w:val="0"/>
      <w:marBottom w:val="0"/>
      <w:divBdr>
        <w:top w:val="none" w:sz="0" w:space="0" w:color="auto"/>
        <w:left w:val="none" w:sz="0" w:space="0" w:color="auto"/>
        <w:bottom w:val="none" w:sz="0" w:space="0" w:color="auto"/>
        <w:right w:val="none" w:sz="0" w:space="0" w:color="auto"/>
      </w:divBdr>
    </w:div>
    <w:div w:id="1788769854">
      <w:bodyDiv w:val="1"/>
      <w:marLeft w:val="0"/>
      <w:marRight w:val="0"/>
      <w:marTop w:val="0"/>
      <w:marBottom w:val="0"/>
      <w:divBdr>
        <w:top w:val="none" w:sz="0" w:space="0" w:color="auto"/>
        <w:left w:val="none" w:sz="0" w:space="0" w:color="auto"/>
        <w:bottom w:val="none" w:sz="0" w:space="0" w:color="auto"/>
        <w:right w:val="none" w:sz="0" w:space="0" w:color="auto"/>
      </w:divBdr>
      <w:divsChild>
        <w:div w:id="2120679750">
          <w:marLeft w:val="0"/>
          <w:marRight w:val="0"/>
          <w:marTop w:val="0"/>
          <w:marBottom w:val="0"/>
          <w:divBdr>
            <w:top w:val="none" w:sz="0" w:space="0" w:color="auto"/>
            <w:left w:val="none" w:sz="0" w:space="0" w:color="auto"/>
            <w:bottom w:val="none" w:sz="0" w:space="0" w:color="auto"/>
            <w:right w:val="none" w:sz="0" w:space="0" w:color="auto"/>
          </w:divBdr>
          <w:divsChild>
            <w:div w:id="323167964">
              <w:marLeft w:val="0"/>
              <w:marRight w:val="0"/>
              <w:marTop w:val="0"/>
              <w:marBottom w:val="0"/>
              <w:divBdr>
                <w:top w:val="none" w:sz="0" w:space="0" w:color="auto"/>
                <w:left w:val="none" w:sz="0" w:space="0" w:color="auto"/>
                <w:bottom w:val="none" w:sz="0" w:space="0" w:color="auto"/>
                <w:right w:val="none" w:sz="0" w:space="0" w:color="auto"/>
              </w:divBdr>
            </w:div>
            <w:div w:id="1198080164">
              <w:marLeft w:val="0"/>
              <w:marRight w:val="0"/>
              <w:marTop w:val="0"/>
              <w:marBottom w:val="0"/>
              <w:divBdr>
                <w:top w:val="none" w:sz="0" w:space="0" w:color="auto"/>
                <w:left w:val="none" w:sz="0" w:space="0" w:color="auto"/>
                <w:bottom w:val="none" w:sz="0" w:space="0" w:color="auto"/>
                <w:right w:val="none" w:sz="0" w:space="0" w:color="auto"/>
              </w:divBdr>
            </w:div>
            <w:div w:id="16349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21449">
      <w:bodyDiv w:val="1"/>
      <w:marLeft w:val="0"/>
      <w:marRight w:val="0"/>
      <w:marTop w:val="0"/>
      <w:marBottom w:val="0"/>
      <w:divBdr>
        <w:top w:val="none" w:sz="0" w:space="0" w:color="auto"/>
        <w:left w:val="none" w:sz="0" w:space="0" w:color="auto"/>
        <w:bottom w:val="none" w:sz="0" w:space="0" w:color="auto"/>
        <w:right w:val="none" w:sz="0" w:space="0" w:color="auto"/>
      </w:divBdr>
    </w:div>
    <w:div w:id="2004551864">
      <w:bodyDiv w:val="1"/>
      <w:marLeft w:val="0"/>
      <w:marRight w:val="0"/>
      <w:marTop w:val="0"/>
      <w:marBottom w:val="0"/>
      <w:divBdr>
        <w:top w:val="none" w:sz="0" w:space="0" w:color="auto"/>
        <w:left w:val="none" w:sz="0" w:space="0" w:color="auto"/>
        <w:bottom w:val="none" w:sz="0" w:space="0" w:color="auto"/>
        <w:right w:val="none" w:sz="0" w:space="0" w:color="auto"/>
      </w:divBdr>
    </w:div>
    <w:div w:id="2058046134">
      <w:bodyDiv w:val="1"/>
      <w:marLeft w:val="0"/>
      <w:marRight w:val="0"/>
      <w:marTop w:val="0"/>
      <w:marBottom w:val="0"/>
      <w:divBdr>
        <w:top w:val="none" w:sz="0" w:space="0" w:color="auto"/>
        <w:left w:val="none" w:sz="0" w:space="0" w:color="auto"/>
        <w:bottom w:val="none" w:sz="0" w:space="0" w:color="auto"/>
        <w:right w:val="none" w:sz="0" w:space="0" w:color="auto"/>
      </w:divBdr>
    </w:div>
    <w:div w:id="21118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8E53B-A558-4ABB-9EDD-BDE057C0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3522</Words>
  <Characters>21132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Opinia dotycząca PZP I os</vt:lpstr>
    </vt:vector>
  </TitlesOfParts>
  <Company>Hewlett-Packard</Company>
  <LinksUpToDate>false</LinksUpToDate>
  <CharactersWithSpaces>24605</CharactersWithSpaces>
  <SharedDoc>false</SharedDoc>
  <HLinks>
    <vt:vector size="6" baseType="variant">
      <vt:variant>
        <vt:i4>6291497</vt:i4>
      </vt:variant>
      <vt:variant>
        <vt:i4>0</vt:i4>
      </vt:variant>
      <vt:variant>
        <vt:i4>0</vt:i4>
      </vt:variant>
      <vt:variant>
        <vt:i4>5</vt:i4>
      </vt:variant>
      <vt:variant>
        <vt:lpwstr>http://www.uzp.gov.pl/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Opinia dotycząca PZP I os</dc:title>
  <dc:subject/>
  <dc:creator>Administrator</dc:creator>
  <cp:keywords/>
  <cp:lastModifiedBy>Aneta Gienibor</cp:lastModifiedBy>
  <cp:revision>2</cp:revision>
  <cp:lastPrinted>2017-05-17T08:49:00Z</cp:lastPrinted>
  <dcterms:created xsi:type="dcterms:W3CDTF">2017-05-17T08:51:00Z</dcterms:created>
  <dcterms:modified xsi:type="dcterms:W3CDTF">2017-05-17T08:51:00Z</dcterms:modified>
</cp:coreProperties>
</file>