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B4" w:rsidRPr="006067F3" w:rsidRDefault="00C82080">
      <w:pPr>
        <w:rPr>
          <w:rFonts w:ascii="Trebuchet MS" w:hAnsi="Trebuchet MS"/>
          <w:i/>
          <w:sz w:val="21"/>
          <w:szCs w:val="21"/>
        </w:rPr>
      </w:pPr>
      <w:r>
        <w:rPr>
          <w:rFonts w:ascii="Trebuchet MS" w:hAnsi="Trebuchet MS"/>
          <w:i/>
          <w:sz w:val="21"/>
          <w:szCs w:val="21"/>
        </w:rPr>
        <w:t>07</w:t>
      </w:r>
      <w:bookmarkStart w:id="0" w:name="_GoBack"/>
      <w:bookmarkEnd w:id="0"/>
      <w:r w:rsidR="005F4D89" w:rsidRPr="006067F3">
        <w:rPr>
          <w:rFonts w:ascii="Trebuchet MS" w:hAnsi="Trebuchet MS"/>
          <w:i/>
          <w:sz w:val="21"/>
          <w:szCs w:val="21"/>
        </w:rPr>
        <w:t>.</w:t>
      </w:r>
      <w:r w:rsidR="003F0FB4" w:rsidRPr="006067F3">
        <w:rPr>
          <w:rFonts w:ascii="Trebuchet MS" w:hAnsi="Trebuchet MS"/>
          <w:i/>
          <w:sz w:val="21"/>
          <w:szCs w:val="21"/>
        </w:rPr>
        <w:t>0</w:t>
      </w:r>
      <w:r w:rsidR="00BD2703" w:rsidRPr="006067F3">
        <w:rPr>
          <w:rFonts w:ascii="Trebuchet MS" w:hAnsi="Trebuchet MS"/>
          <w:i/>
          <w:sz w:val="21"/>
          <w:szCs w:val="21"/>
        </w:rPr>
        <w:t>5</w:t>
      </w:r>
      <w:r w:rsidR="003F0FB4" w:rsidRPr="006067F3">
        <w:rPr>
          <w:rFonts w:ascii="Trebuchet MS" w:hAnsi="Trebuchet MS"/>
          <w:i/>
          <w:sz w:val="21"/>
          <w:szCs w:val="21"/>
        </w:rPr>
        <w:t>.2020</w:t>
      </w:r>
      <w:r w:rsidR="00EF7E6A" w:rsidRPr="006067F3">
        <w:rPr>
          <w:rFonts w:ascii="Trebuchet MS" w:hAnsi="Trebuchet MS"/>
          <w:i/>
          <w:sz w:val="21"/>
          <w:szCs w:val="21"/>
        </w:rPr>
        <w:t xml:space="preserve"> </w:t>
      </w:r>
      <w:r w:rsidR="003F0FB4" w:rsidRPr="006067F3">
        <w:rPr>
          <w:rFonts w:ascii="Trebuchet MS" w:hAnsi="Trebuchet MS"/>
          <w:i/>
          <w:sz w:val="21"/>
          <w:szCs w:val="21"/>
        </w:rPr>
        <w:t>r.</w:t>
      </w:r>
    </w:p>
    <w:p w:rsidR="001A2735" w:rsidRPr="006067F3" w:rsidRDefault="003F0FB4" w:rsidP="003F0FB4">
      <w:pPr>
        <w:jc w:val="both"/>
        <w:rPr>
          <w:rFonts w:ascii="Trebuchet MS" w:hAnsi="Trebuchet MS"/>
          <w:b/>
          <w:sz w:val="21"/>
          <w:szCs w:val="21"/>
        </w:rPr>
      </w:pPr>
      <w:r w:rsidRPr="006067F3">
        <w:rPr>
          <w:rFonts w:ascii="Trebuchet MS" w:hAnsi="Trebuchet MS"/>
          <w:b/>
          <w:sz w:val="21"/>
          <w:szCs w:val="21"/>
        </w:rPr>
        <w:t xml:space="preserve">Informacja o zmianach w dokumentacji konkursowej do naboru nr POPC.02.04.00-IP.01-00-001/20 w ramach  Działania  2.4„ Tworzenie usług i aplikacji wykorzystujących e-usługi publiczne i informacje sektora publicznego” Programu  Operacyjnego Polska Cyfrowa na lata 2014-2020, ogłoszonego w dniu 19 grudnia 2019 r.  </w:t>
      </w:r>
    </w:p>
    <w:p w:rsidR="00EF7E6A" w:rsidRPr="006067F3" w:rsidRDefault="00E81F0A" w:rsidP="00E81F0A">
      <w:pPr>
        <w:pStyle w:val="Nagwek1"/>
        <w:jc w:val="both"/>
        <w:rPr>
          <w:rFonts w:ascii="Trebuchet MS" w:hAnsi="Trebuchet MS" w:cstheme="majorHAnsi"/>
          <w:b/>
          <w:color w:val="0D0D0D" w:themeColor="text1" w:themeTint="F2"/>
          <w:sz w:val="21"/>
          <w:szCs w:val="21"/>
        </w:rPr>
      </w:pPr>
      <w:bookmarkStart w:id="1" w:name="_Toc27034038"/>
      <w:r w:rsidRPr="006067F3">
        <w:rPr>
          <w:rFonts w:ascii="Trebuchet MS" w:hAnsi="Trebuchet MS" w:cstheme="majorHAnsi"/>
          <w:b/>
          <w:color w:val="0D0D0D" w:themeColor="text1" w:themeTint="F2"/>
          <w:sz w:val="21"/>
          <w:szCs w:val="21"/>
        </w:rPr>
        <w:t>Zmieniony został Regulamin konkursu</w:t>
      </w:r>
      <w:r w:rsidR="00401CF4" w:rsidRPr="006067F3">
        <w:rPr>
          <w:rFonts w:ascii="Trebuchet MS" w:hAnsi="Trebuchet MS" w:cstheme="majorHAnsi"/>
          <w:b/>
          <w:color w:val="0D0D0D" w:themeColor="text1" w:themeTint="F2"/>
          <w:sz w:val="21"/>
          <w:szCs w:val="21"/>
        </w:rPr>
        <w:t xml:space="preserve"> w zakresie</w:t>
      </w:r>
      <w:r w:rsidR="00EF7E6A" w:rsidRPr="006067F3">
        <w:rPr>
          <w:rFonts w:ascii="Trebuchet MS" w:hAnsi="Trebuchet MS" w:cstheme="majorHAnsi"/>
          <w:b/>
          <w:color w:val="0D0D0D" w:themeColor="text1" w:themeTint="F2"/>
          <w:sz w:val="21"/>
          <w:szCs w:val="21"/>
        </w:rPr>
        <w:t>:</w:t>
      </w:r>
    </w:p>
    <w:p w:rsidR="00BD2703" w:rsidRPr="006067F3" w:rsidRDefault="00BD2703" w:rsidP="00BD2703">
      <w:pPr>
        <w:rPr>
          <w:rFonts w:ascii="Trebuchet MS" w:hAnsi="Trebuchet MS"/>
          <w:b/>
          <w:bCs/>
          <w:sz w:val="21"/>
          <w:szCs w:val="21"/>
        </w:rPr>
      </w:pPr>
    </w:p>
    <w:p w:rsidR="00BD2703" w:rsidRPr="006067F3" w:rsidRDefault="00EF7E6A" w:rsidP="00BD270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b/>
          <w:bCs/>
          <w:sz w:val="21"/>
          <w:szCs w:val="21"/>
        </w:rPr>
      </w:pPr>
      <w:r w:rsidRPr="006067F3">
        <w:rPr>
          <w:rFonts w:ascii="Trebuchet MS" w:hAnsi="Trebuchet MS" w:cstheme="majorHAnsi"/>
          <w:b/>
          <w:bCs/>
          <w:color w:val="0D0D0D" w:themeColor="text1" w:themeTint="F2"/>
          <w:sz w:val="21"/>
          <w:szCs w:val="21"/>
        </w:rPr>
        <w:t xml:space="preserve">§ </w:t>
      </w:r>
      <w:r w:rsidR="00BD2703" w:rsidRPr="006067F3">
        <w:rPr>
          <w:rFonts w:ascii="Trebuchet MS" w:hAnsi="Trebuchet MS" w:cstheme="majorHAnsi"/>
          <w:b/>
          <w:bCs/>
          <w:color w:val="0D0D0D" w:themeColor="text1" w:themeTint="F2"/>
          <w:sz w:val="21"/>
          <w:szCs w:val="21"/>
        </w:rPr>
        <w:t>2.</w:t>
      </w:r>
      <w:r w:rsidRPr="006067F3">
        <w:rPr>
          <w:rFonts w:ascii="Trebuchet MS" w:hAnsi="Trebuchet MS" w:cstheme="majorHAnsi"/>
          <w:b/>
          <w:bCs/>
          <w:color w:val="0D0D0D" w:themeColor="text1" w:themeTint="F2"/>
          <w:sz w:val="21"/>
          <w:szCs w:val="21"/>
        </w:rPr>
        <w:t xml:space="preserve"> </w:t>
      </w:r>
      <w:r w:rsidR="00BD2703" w:rsidRPr="006067F3">
        <w:rPr>
          <w:rFonts w:ascii="Trebuchet MS" w:hAnsi="Trebuchet MS"/>
          <w:b/>
          <w:bCs/>
          <w:sz w:val="21"/>
          <w:szCs w:val="21"/>
        </w:rPr>
        <w:t xml:space="preserve">Konkurs jest organizowany w oparciu o następujące akty prawne: </w:t>
      </w:r>
    </w:p>
    <w:p w:rsidR="00BD2703" w:rsidRPr="006067F3" w:rsidRDefault="00BD2703" w:rsidP="00BD2703">
      <w:pPr>
        <w:pStyle w:val="Akapitzlist"/>
        <w:numPr>
          <w:ilvl w:val="0"/>
          <w:numId w:val="5"/>
        </w:numPr>
        <w:spacing w:before="240" w:line="276" w:lineRule="auto"/>
        <w:ind w:left="360"/>
        <w:jc w:val="both"/>
        <w:rPr>
          <w:rFonts w:ascii="Trebuchet MS" w:hAnsi="Trebuchet MS"/>
          <w:sz w:val="21"/>
          <w:szCs w:val="21"/>
        </w:rPr>
      </w:pPr>
      <w:r w:rsidRPr="006067F3">
        <w:rPr>
          <w:rFonts w:ascii="Trebuchet MS" w:hAnsi="Trebuchet MS"/>
          <w:sz w:val="21"/>
          <w:szCs w:val="21"/>
        </w:rPr>
        <w:t>Formalne i merytoryczne Kryteria wyboru projektu w Działaniu 2.4 POPC:</w:t>
      </w:r>
    </w:p>
    <w:p w:rsidR="00BD2703" w:rsidRPr="006067F3" w:rsidRDefault="00BD2703" w:rsidP="00BD2703">
      <w:pPr>
        <w:pStyle w:val="Akapitzlist"/>
        <w:numPr>
          <w:ilvl w:val="3"/>
          <w:numId w:val="4"/>
        </w:numPr>
        <w:spacing w:before="240" w:line="276" w:lineRule="auto"/>
        <w:ind w:left="710"/>
        <w:jc w:val="both"/>
        <w:rPr>
          <w:rFonts w:ascii="Trebuchet MS" w:hAnsi="Trebuchet MS"/>
          <w:sz w:val="21"/>
          <w:szCs w:val="21"/>
        </w:rPr>
      </w:pPr>
      <w:r w:rsidRPr="006067F3">
        <w:rPr>
          <w:rFonts w:ascii="Trebuchet MS" w:hAnsi="Trebuchet MS"/>
          <w:sz w:val="21"/>
          <w:szCs w:val="21"/>
        </w:rPr>
        <w:t>obowiązujące w I rundzie konkursu - Uchwała Komitetu Monitorującego POPC nr 3/2019 w sprawie zatwierdzenia metodyki i kryteriów wyboru projektów w trybie konkursowym dla Działania 2.4 „Tworzenie usług i aplikacji wykorzystujących e-usługi publiczne i informacje sektora publicznego”,</w:t>
      </w:r>
    </w:p>
    <w:p w:rsidR="00BD2703" w:rsidRPr="006067F3" w:rsidRDefault="00BD2703" w:rsidP="00BD2703">
      <w:pPr>
        <w:pStyle w:val="Akapitzlist"/>
        <w:numPr>
          <w:ilvl w:val="3"/>
          <w:numId w:val="4"/>
        </w:numPr>
        <w:spacing w:before="240" w:line="276" w:lineRule="auto"/>
        <w:ind w:left="710"/>
        <w:jc w:val="both"/>
        <w:rPr>
          <w:rFonts w:ascii="Trebuchet MS" w:hAnsi="Trebuchet MS"/>
          <w:sz w:val="21"/>
          <w:szCs w:val="21"/>
        </w:rPr>
      </w:pPr>
      <w:r w:rsidRPr="006067F3">
        <w:rPr>
          <w:rFonts w:ascii="Trebuchet MS" w:hAnsi="Trebuchet MS"/>
          <w:sz w:val="21"/>
          <w:szCs w:val="21"/>
        </w:rPr>
        <w:t>obowiązujące w II rundzie konkursu - Uchwała Komitetu Monitorującego POPC nr 2/2020 w sprawie zatwierdzenia zmiany kryteriów wyboru projektów w trybie konkursowym dla działania 2.4 „Tworzenie usług i aplikacji wykorzystujących e-usługi publiczne i informacje sektora publicznego”,</w:t>
      </w:r>
    </w:p>
    <w:p w:rsidR="00BD2703" w:rsidRPr="006067F3" w:rsidRDefault="00BD2703" w:rsidP="00BD2703">
      <w:pPr>
        <w:pStyle w:val="Akapitzlist"/>
        <w:spacing w:before="240" w:line="276" w:lineRule="auto"/>
        <w:ind w:left="710"/>
        <w:jc w:val="both"/>
        <w:rPr>
          <w:rFonts w:ascii="Trebuchet MS" w:hAnsi="Trebuchet MS"/>
          <w:sz w:val="21"/>
          <w:szCs w:val="21"/>
        </w:rPr>
      </w:pPr>
      <w:r w:rsidRPr="006067F3">
        <w:rPr>
          <w:rFonts w:ascii="Trebuchet MS" w:hAnsi="Trebuchet MS"/>
          <w:sz w:val="21"/>
          <w:szCs w:val="21"/>
        </w:rPr>
        <w:t>- stanowiące odpowiednio Załącznik nr 3a i 3b do Regulaminu.</w:t>
      </w:r>
    </w:p>
    <w:p w:rsidR="00BD2703" w:rsidRPr="006067F3" w:rsidRDefault="00BD2703" w:rsidP="00BD2703">
      <w:pPr>
        <w:pStyle w:val="Akapitzlist"/>
        <w:spacing w:before="240" w:line="276" w:lineRule="auto"/>
        <w:ind w:left="710"/>
        <w:jc w:val="both"/>
        <w:rPr>
          <w:rFonts w:ascii="Trebuchet MS" w:hAnsi="Trebuchet MS"/>
          <w:sz w:val="21"/>
          <w:szCs w:val="21"/>
        </w:rPr>
      </w:pPr>
    </w:p>
    <w:p w:rsidR="00BD2703" w:rsidRPr="006067F3" w:rsidRDefault="00BD2703" w:rsidP="00BD2703">
      <w:pPr>
        <w:pStyle w:val="Akapitzlist"/>
        <w:numPr>
          <w:ilvl w:val="0"/>
          <w:numId w:val="4"/>
        </w:numPr>
        <w:jc w:val="both"/>
        <w:rPr>
          <w:rFonts w:ascii="Trebuchet MS" w:hAnsi="Trebuchet MS"/>
          <w:sz w:val="21"/>
          <w:szCs w:val="21"/>
        </w:rPr>
      </w:pPr>
      <w:bookmarkStart w:id="2" w:name="_Toc27034032"/>
      <w:r w:rsidRPr="006067F3">
        <w:rPr>
          <w:rFonts w:ascii="Trebuchet MS" w:hAnsi="Trebuchet MS"/>
          <w:b/>
          <w:sz w:val="21"/>
          <w:szCs w:val="21"/>
        </w:rPr>
        <w:t>§ 3.</w:t>
      </w:r>
      <w:bookmarkStart w:id="3" w:name="_Toc27034033"/>
      <w:bookmarkEnd w:id="2"/>
      <w:r w:rsidRPr="006067F3">
        <w:rPr>
          <w:rFonts w:ascii="Trebuchet MS" w:hAnsi="Trebuchet MS"/>
          <w:b/>
          <w:sz w:val="21"/>
          <w:szCs w:val="21"/>
        </w:rPr>
        <w:t xml:space="preserve"> Podstawowe informacje o konkursi</w:t>
      </w:r>
      <w:bookmarkEnd w:id="3"/>
      <w:r w:rsidRPr="006067F3">
        <w:rPr>
          <w:rFonts w:ascii="Trebuchet MS" w:hAnsi="Trebuchet MS"/>
          <w:b/>
          <w:sz w:val="21"/>
          <w:szCs w:val="21"/>
        </w:rPr>
        <w:t>e dodano pkt. 3: „</w:t>
      </w:r>
      <w:r w:rsidRPr="006067F3">
        <w:rPr>
          <w:rFonts w:ascii="Trebuchet MS" w:hAnsi="Trebuchet MS"/>
          <w:sz w:val="21"/>
          <w:szCs w:val="21"/>
        </w:rPr>
        <w:t>Wnioski o dofinansowanie złożone w ramach I rundy konkursu oceniane będą według kryteriów przyjętych Uchwałą Komitetu Monitorującego POPC nr 3/2019 w sprawie zatwierdzenia metodyki i kryteriów wyboru projektów w trybie konkursowym dla Działania 2.4 „Tworzenie usług i aplikacji wykorzystujących e-usługi publiczne i informacje sektora publicznego”, natomiast wnioski złożone w ramach II rundy konkursu oceniane będą według kryteriów przyjętych Uchwałą Komitetu Monitorującego POPC nr  2/2020 w sprawie zatwierdzenia zmiany kryteriów wyboru projektów w trybie konkursowym dla działania 2.4 „Tworzenie usług i aplikacji wykorzystujących e-usługi publiczne i informacje sektora publicznego””.</w:t>
      </w:r>
    </w:p>
    <w:p w:rsidR="00BD2703" w:rsidRPr="006067F3" w:rsidRDefault="00BD2703" w:rsidP="00BD2703">
      <w:pPr>
        <w:pStyle w:val="Akapitzlist"/>
        <w:ind w:left="360"/>
        <w:jc w:val="both"/>
        <w:rPr>
          <w:rFonts w:ascii="Trebuchet MS" w:hAnsi="Trebuchet MS"/>
          <w:sz w:val="21"/>
          <w:szCs w:val="21"/>
        </w:rPr>
      </w:pPr>
    </w:p>
    <w:p w:rsidR="00BD2703" w:rsidRPr="007E1EB0" w:rsidRDefault="00BD2703" w:rsidP="00BD2703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Trebuchet MS" w:hAnsi="Trebuchet MS"/>
          <w:b/>
          <w:sz w:val="21"/>
          <w:szCs w:val="21"/>
        </w:rPr>
      </w:pPr>
      <w:r w:rsidRPr="007E1EB0">
        <w:rPr>
          <w:rFonts w:ascii="Trebuchet MS" w:hAnsi="Trebuchet MS"/>
          <w:b/>
          <w:sz w:val="21"/>
          <w:szCs w:val="21"/>
        </w:rPr>
        <w:t xml:space="preserve">§ 3. Podstawowe informacje o konkursie pkt 6. </w:t>
      </w:r>
    </w:p>
    <w:p w:rsidR="00BD2703" w:rsidRPr="007E1EB0" w:rsidRDefault="00BD2703" w:rsidP="00BD2703">
      <w:pPr>
        <w:spacing w:before="240" w:line="276" w:lineRule="auto"/>
        <w:jc w:val="both"/>
        <w:rPr>
          <w:rFonts w:ascii="Trebuchet MS" w:hAnsi="Trebuchet MS"/>
          <w:sz w:val="21"/>
          <w:szCs w:val="21"/>
        </w:rPr>
      </w:pPr>
      <w:r w:rsidRPr="007E1EB0">
        <w:rPr>
          <w:rFonts w:ascii="Trebuchet MS" w:hAnsi="Trebuchet MS"/>
          <w:b/>
          <w:bCs/>
          <w:sz w:val="21"/>
          <w:szCs w:val="21"/>
        </w:rPr>
        <w:t>Było:</w:t>
      </w:r>
      <w:r w:rsidRPr="007E1EB0">
        <w:rPr>
          <w:rFonts w:ascii="Trebuchet MS" w:hAnsi="Trebuchet MS"/>
          <w:sz w:val="21"/>
          <w:szCs w:val="21"/>
        </w:rPr>
        <w:t xml:space="preserve"> „o której mowa w ust. 4 powyżej”.</w:t>
      </w:r>
    </w:p>
    <w:p w:rsidR="00BD2703" w:rsidRPr="007E1EB0" w:rsidRDefault="00BD2703" w:rsidP="002E5D8D">
      <w:pPr>
        <w:spacing w:before="240" w:line="276" w:lineRule="auto"/>
        <w:jc w:val="both"/>
        <w:rPr>
          <w:rFonts w:ascii="Trebuchet MS" w:hAnsi="Trebuchet MS"/>
          <w:sz w:val="21"/>
          <w:szCs w:val="21"/>
        </w:rPr>
      </w:pPr>
      <w:r w:rsidRPr="007E1EB0">
        <w:rPr>
          <w:rFonts w:ascii="Trebuchet MS" w:hAnsi="Trebuchet MS"/>
          <w:b/>
          <w:sz w:val="21"/>
          <w:szCs w:val="21"/>
        </w:rPr>
        <w:t>Jest: „</w:t>
      </w:r>
      <w:r w:rsidRPr="007E1EB0">
        <w:rPr>
          <w:rFonts w:ascii="Trebuchet MS" w:hAnsi="Trebuchet MS"/>
          <w:sz w:val="21"/>
          <w:szCs w:val="21"/>
        </w:rPr>
        <w:t>o której mowa w ust. 5 powyżej”, było: „o której mowa w ust. 4 powyżej”.</w:t>
      </w:r>
    </w:p>
    <w:p w:rsidR="00BD2703" w:rsidRDefault="00BD2703" w:rsidP="002E5D8D">
      <w:pPr>
        <w:pStyle w:val="Nagwek1"/>
        <w:numPr>
          <w:ilvl w:val="0"/>
          <w:numId w:val="4"/>
        </w:numPr>
        <w:jc w:val="both"/>
        <w:rPr>
          <w:rFonts w:ascii="Trebuchet MS" w:hAnsi="Trebuchet MS"/>
          <w:b/>
          <w:color w:val="auto"/>
          <w:sz w:val="21"/>
          <w:szCs w:val="21"/>
        </w:rPr>
      </w:pPr>
      <w:r w:rsidRPr="007E1EB0">
        <w:rPr>
          <w:rFonts w:ascii="Trebuchet MS" w:hAnsi="Trebuchet MS"/>
          <w:b/>
          <w:color w:val="auto"/>
          <w:sz w:val="21"/>
          <w:szCs w:val="21"/>
        </w:rPr>
        <w:t xml:space="preserve">§ 7. Ogólne zasady składania wniosków o dofinansowanie i sposób komunikacji z IOK pkt. 19 </w:t>
      </w:r>
    </w:p>
    <w:p w:rsidR="00973929" w:rsidRPr="00973929" w:rsidRDefault="00973929" w:rsidP="00973929"/>
    <w:p w:rsidR="00BD2703" w:rsidRPr="007E1EB0" w:rsidRDefault="00BD2703" w:rsidP="00BD2703">
      <w:pPr>
        <w:jc w:val="both"/>
        <w:rPr>
          <w:rFonts w:ascii="Trebuchet MS" w:hAnsi="Trebuchet MS"/>
          <w:sz w:val="21"/>
          <w:szCs w:val="21"/>
        </w:rPr>
      </w:pPr>
      <w:r w:rsidRPr="007E1EB0">
        <w:rPr>
          <w:rFonts w:ascii="Trebuchet MS" w:hAnsi="Trebuchet MS"/>
          <w:b/>
          <w:bCs/>
          <w:sz w:val="21"/>
          <w:szCs w:val="21"/>
        </w:rPr>
        <w:t>Było:</w:t>
      </w:r>
      <w:r w:rsidRPr="007E1EB0">
        <w:rPr>
          <w:rFonts w:ascii="Trebuchet MS" w:hAnsi="Trebuchet MS"/>
          <w:sz w:val="21"/>
          <w:szCs w:val="21"/>
        </w:rPr>
        <w:t xml:space="preserve"> „Odpowiedzialność za brak skutecznych kanałów szybkiej komunikacji, o których mowa powyżej, leży po stronie Wnioskodawcy. Nieprawidłowe działanie skrzynki podawczej po stronie Wnioskodawcy nie stanowi przesłanki do uznania, iż doręczenie jest nieskuteczne.”</w:t>
      </w:r>
    </w:p>
    <w:p w:rsidR="00BD2703" w:rsidRPr="007E1EB0" w:rsidRDefault="00BD2703" w:rsidP="00BD2703">
      <w:pPr>
        <w:spacing w:line="276" w:lineRule="auto"/>
        <w:jc w:val="both"/>
        <w:rPr>
          <w:rFonts w:ascii="Trebuchet MS" w:hAnsi="Trebuchet MS"/>
          <w:sz w:val="21"/>
          <w:szCs w:val="21"/>
        </w:rPr>
      </w:pPr>
      <w:r w:rsidRPr="007E1EB0">
        <w:rPr>
          <w:rFonts w:ascii="Trebuchet MS" w:hAnsi="Trebuchet MS"/>
          <w:b/>
          <w:bCs/>
          <w:sz w:val="21"/>
          <w:szCs w:val="21"/>
        </w:rPr>
        <w:t>Jest:</w:t>
      </w:r>
      <w:r w:rsidRPr="007E1EB0">
        <w:rPr>
          <w:rFonts w:ascii="Trebuchet MS" w:hAnsi="Trebuchet MS"/>
          <w:sz w:val="21"/>
          <w:szCs w:val="21"/>
        </w:rPr>
        <w:t xml:space="preserve"> „Odpowiedzialność za brak skutecznych kanałów szybkiej komunikacji, o których mowa powyżej, leży po stronie Wnioskodawcy. Nieprawidłowe działanie skrzynki podawczej po stronie Wnioskodawcy nie stanowi przesłanki do uznania, iż doręczenie jest nieskuteczne. Wskazanie nieaktywnych/nieprawidłowych adresów email/adresu skrytki </w:t>
      </w:r>
      <w:proofErr w:type="spellStart"/>
      <w:r w:rsidRPr="007E1EB0">
        <w:rPr>
          <w:rFonts w:ascii="Trebuchet MS" w:hAnsi="Trebuchet MS"/>
          <w:sz w:val="21"/>
          <w:szCs w:val="21"/>
        </w:rPr>
        <w:t>ePUAP</w:t>
      </w:r>
      <w:proofErr w:type="spellEnd"/>
      <w:r w:rsidRPr="007E1EB0">
        <w:rPr>
          <w:rFonts w:ascii="Trebuchet MS" w:hAnsi="Trebuchet MS"/>
          <w:sz w:val="21"/>
          <w:szCs w:val="21"/>
        </w:rPr>
        <w:t xml:space="preserve"> skutkuje pozostawieniem wniosku bez rozpatrzenia.”</w:t>
      </w:r>
    </w:p>
    <w:p w:rsidR="00BD2703" w:rsidRPr="00973929" w:rsidRDefault="00BD2703" w:rsidP="002E5D8D">
      <w:pPr>
        <w:pStyle w:val="Nagwek1"/>
        <w:numPr>
          <w:ilvl w:val="0"/>
          <w:numId w:val="4"/>
        </w:numPr>
        <w:jc w:val="both"/>
        <w:rPr>
          <w:rFonts w:ascii="Trebuchet MS" w:hAnsi="Trebuchet MS"/>
          <w:b/>
          <w:color w:val="auto"/>
          <w:sz w:val="21"/>
          <w:szCs w:val="21"/>
        </w:rPr>
      </w:pPr>
      <w:r w:rsidRPr="00973929">
        <w:rPr>
          <w:rFonts w:ascii="Trebuchet MS" w:hAnsi="Trebuchet MS"/>
          <w:b/>
          <w:color w:val="auto"/>
          <w:sz w:val="21"/>
          <w:szCs w:val="21"/>
        </w:rPr>
        <w:lastRenderedPageBreak/>
        <w:t>§ 7. Ogólne zasady składania wniosków o dofinansowanie i sposób komunikacji z IOK pkt. 26</w:t>
      </w:r>
    </w:p>
    <w:p w:rsidR="002E5D8D" w:rsidRDefault="002E5D8D" w:rsidP="002E5D8D">
      <w:pPr>
        <w:jc w:val="both"/>
        <w:rPr>
          <w:rFonts w:ascii="Trebuchet MS" w:hAnsi="Trebuchet MS"/>
          <w:b/>
          <w:bCs/>
          <w:sz w:val="21"/>
          <w:szCs w:val="21"/>
        </w:rPr>
      </w:pPr>
    </w:p>
    <w:p w:rsidR="00BD2703" w:rsidRPr="00973929" w:rsidRDefault="00BD2703" w:rsidP="002E5D8D">
      <w:pPr>
        <w:jc w:val="both"/>
        <w:rPr>
          <w:rFonts w:ascii="Trebuchet MS" w:hAnsi="Trebuchet MS"/>
          <w:b/>
          <w:bCs/>
          <w:sz w:val="21"/>
          <w:szCs w:val="21"/>
        </w:rPr>
      </w:pPr>
      <w:r w:rsidRPr="00973929">
        <w:rPr>
          <w:rFonts w:ascii="Trebuchet MS" w:hAnsi="Trebuchet MS"/>
          <w:b/>
          <w:bCs/>
          <w:sz w:val="21"/>
          <w:szCs w:val="21"/>
        </w:rPr>
        <w:t>Było:</w:t>
      </w:r>
    </w:p>
    <w:tbl>
      <w:tblPr>
        <w:tblStyle w:val="Tabela-Siatka"/>
        <w:tblW w:w="9667" w:type="dxa"/>
        <w:tblLook w:val="04A0" w:firstRow="1" w:lastRow="0" w:firstColumn="1" w:lastColumn="0" w:noHBand="0" w:noVBand="1"/>
      </w:tblPr>
      <w:tblGrid>
        <w:gridCol w:w="1465"/>
        <w:gridCol w:w="1442"/>
        <w:gridCol w:w="1989"/>
        <w:gridCol w:w="1365"/>
        <w:gridCol w:w="1814"/>
        <w:gridCol w:w="1592"/>
      </w:tblGrid>
      <w:tr w:rsidR="00BD2703" w:rsidRPr="006067F3" w:rsidTr="00F24283">
        <w:tc>
          <w:tcPr>
            <w:tcW w:w="1465" w:type="dxa"/>
            <w:vMerge w:val="restart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Czynność:</w:t>
            </w:r>
          </w:p>
        </w:tc>
        <w:tc>
          <w:tcPr>
            <w:tcW w:w="3431" w:type="dxa"/>
            <w:gridSpan w:val="2"/>
          </w:tcPr>
          <w:p w:rsidR="00BD2703" w:rsidRPr="006067F3" w:rsidRDefault="00BD2703" w:rsidP="00F2428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Formy komunikacji</w:t>
            </w:r>
          </w:p>
        </w:tc>
        <w:tc>
          <w:tcPr>
            <w:tcW w:w="1365" w:type="dxa"/>
            <w:vMerge w:val="restart"/>
          </w:tcPr>
          <w:p w:rsidR="00BD2703" w:rsidRPr="006067F3" w:rsidRDefault="00BD2703" w:rsidP="00F2428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Termin obowiązujący Wnioskodawcę</w:t>
            </w:r>
          </w:p>
        </w:tc>
        <w:tc>
          <w:tcPr>
            <w:tcW w:w="1814" w:type="dxa"/>
            <w:vMerge w:val="restart"/>
          </w:tcPr>
          <w:p w:rsidR="00BD2703" w:rsidRPr="006067F3" w:rsidRDefault="00BD2703" w:rsidP="00F2428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Sposób obliczania terminu</w:t>
            </w:r>
          </w:p>
        </w:tc>
        <w:tc>
          <w:tcPr>
            <w:tcW w:w="1592" w:type="dxa"/>
            <w:vMerge w:val="restart"/>
          </w:tcPr>
          <w:p w:rsidR="00BD2703" w:rsidRPr="006067F3" w:rsidRDefault="00BD2703" w:rsidP="00F2428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Podstawa prawna</w:t>
            </w:r>
          </w:p>
        </w:tc>
      </w:tr>
      <w:tr w:rsidR="00BD2703" w:rsidRPr="006067F3" w:rsidTr="00F24283">
        <w:tc>
          <w:tcPr>
            <w:tcW w:w="1465" w:type="dxa"/>
            <w:vMerge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42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IOK do Wnioskodawcy</w:t>
            </w:r>
          </w:p>
        </w:tc>
        <w:tc>
          <w:tcPr>
            <w:tcW w:w="1989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Wnioskodawca do IOK</w:t>
            </w:r>
          </w:p>
        </w:tc>
        <w:tc>
          <w:tcPr>
            <w:tcW w:w="1365" w:type="dxa"/>
            <w:vMerge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D2703" w:rsidRPr="006067F3" w:rsidTr="00F24283">
        <w:tc>
          <w:tcPr>
            <w:tcW w:w="1465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Złożenie wniosku o dofinansowanie</w:t>
            </w:r>
          </w:p>
        </w:tc>
        <w:tc>
          <w:tcPr>
            <w:tcW w:w="1442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Nie dotyczy</w:t>
            </w:r>
          </w:p>
        </w:tc>
        <w:tc>
          <w:tcPr>
            <w:tcW w:w="1989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Aplikacja, o której mowa w § 7 ust. 7</w:t>
            </w:r>
          </w:p>
        </w:tc>
        <w:tc>
          <w:tcPr>
            <w:tcW w:w="1365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Zgodnie z § 7 ust. 2 i 3</w:t>
            </w:r>
          </w:p>
        </w:tc>
        <w:tc>
          <w:tcPr>
            <w:tcW w:w="1814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Zgodnie z § 7 ust. 9</w:t>
            </w:r>
          </w:p>
        </w:tc>
        <w:tc>
          <w:tcPr>
            <w:tcW w:w="1592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Art. 50 Ustawy</w:t>
            </w:r>
          </w:p>
        </w:tc>
      </w:tr>
      <w:tr w:rsidR="00BD2703" w:rsidRPr="006067F3" w:rsidTr="00F24283">
        <w:tc>
          <w:tcPr>
            <w:tcW w:w="1465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Uzupełnienia w zakresie warunków formalnych lub oczywistych omyłek pisarskich w trybie art. 43 ust. 1 i 2 Ustawy</w:t>
            </w:r>
          </w:p>
        </w:tc>
        <w:tc>
          <w:tcPr>
            <w:tcW w:w="1442" w:type="dxa"/>
          </w:tcPr>
          <w:p w:rsidR="00BD2703" w:rsidRPr="006067F3" w:rsidRDefault="00BD2703" w:rsidP="00F24283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6067F3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Adres skrytki </w:t>
            </w:r>
            <w:proofErr w:type="spellStart"/>
            <w:r w:rsidRPr="006067F3">
              <w:rPr>
                <w:rFonts w:ascii="Trebuchet MS" w:hAnsi="Trebuchet MS"/>
                <w:b/>
                <w:bCs/>
                <w:sz w:val="16"/>
                <w:szCs w:val="16"/>
              </w:rPr>
              <w:t>epuap</w:t>
            </w:r>
            <w:proofErr w:type="spellEnd"/>
            <w:r w:rsidRPr="006067F3">
              <w:rPr>
                <w:rFonts w:ascii="Trebuchet MS" w:hAnsi="Trebuchet MS"/>
                <w:b/>
                <w:bCs/>
                <w:sz w:val="16"/>
                <w:szCs w:val="16"/>
              </w:rPr>
              <w:t>, wskazany we wniosku o dofinansowanie</w:t>
            </w:r>
          </w:p>
        </w:tc>
        <w:tc>
          <w:tcPr>
            <w:tcW w:w="1989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  <w:highlight w:val="red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 xml:space="preserve">Skrzynka </w:t>
            </w:r>
            <w:proofErr w:type="spellStart"/>
            <w:r w:rsidRPr="006067F3">
              <w:rPr>
                <w:rFonts w:ascii="Trebuchet MS" w:hAnsi="Trebuchet MS"/>
                <w:sz w:val="16"/>
                <w:szCs w:val="16"/>
              </w:rPr>
              <w:t>ePUAP</w:t>
            </w:r>
            <w:proofErr w:type="spellEnd"/>
            <w:r w:rsidRPr="006067F3">
              <w:rPr>
                <w:rFonts w:ascii="Trebuchet MS" w:hAnsi="Trebuchet MS"/>
                <w:sz w:val="16"/>
                <w:szCs w:val="16"/>
              </w:rPr>
              <w:t>: /2yki7sk30g/</w:t>
            </w:r>
            <w:proofErr w:type="spellStart"/>
            <w:r w:rsidRPr="006067F3">
              <w:rPr>
                <w:rFonts w:ascii="Trebuchet MS" w:hAnsi="Trebuchet MS"/>
                <w:sz w:val="16"/>
                <w:szCs w:val="16"/>
              </w:rPr>
              <w:t>SkrytkaESP</w:t>
            </w:r>
            <w:proofErr w:type="spellEnd"/>
          </w:p>
        </w:tc>
        <w:tc>
          <w:tcPr>
            <w:tcW w:w="1365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 xml:space="preserve">14 dni kalendarzowych </w:t>
            </w:r>
          </w:p>
        </w:tc>
        <w:tc>
          <w:tcPr>
            <w:tcW w:w="1814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Art. 43 ust. 1 i 2 Ustawy w zw. z art. 43 ust. 3 pkt 1 Ustawy</w:t>
            </w:r>
          </w:p>
        </w:tc>
      </w:tr>
      <w:tr w:rsidR="00BD2703" w:rsidRPr="006067F3" w:rsidTr="00F24283">
        <w:tc>
          <w:tcPr>
            <w:tcW w:w="1465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Wysyłanie pytań ekspertów</w:t>
            </w:r>
          </w:p>
        </w:tc>
        <w:tc>
          <w:tcPr>
            <w:tcW w:w="1442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Adres e-mail wskazany we wniosku o dofinansowanie</w:t>
            </w:r>
          </w:p>
        </w:tc>
        <w:tc>
          <w:tcPr>
            <w:tcW w:w="1989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W trybie odpowiedzi na adres e-mail, z którego zostało wysłane zapytanie IOK.</w:t>
            </w:r>
          </w:p>
        </w:tc>
        <w:tc>
          <w:tcPr>
            <w:tcW w:w="1365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Nie krótszy niż 2 dni kalendarzowe</w:t>
            </w:r>
          </w:p>
        </w:tc>
        <w:tc>
          <w:tcPr>
            <w:tcW w:w="1814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Art. 50 Ustawy</w:t>
            </w:r>
          </w:p>
        </w:tc>
      </w:tr>
      <w:tr w:rsidR="00BD2703" w:rsidRPr="006067F3" w:rsidTr="00F24283">
        <w:tc>
          <w:tcPr>
            <w:tcW w:w="1465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Informacja o wynikach oceny</w:t>
            </w:r>
          </w:p>
        </w:tc>
        <w:tc>
          <w:tcPr>
            <w:tcW w:w="1442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 xml:space="preserve">Adres skrytki </w:t>
            </w:r>
            <w:proofErr w:type="spellStart"/>
            <w:r w:rsidRPr="006067F3">
              <w:rPr>
                <w:rFonts w:ascii="Trebuchet MS" w:hAnsi="Trebuchet MS"/>
                <w:sz w:val="16"/>
                <w:szCs w:val="16"/>
              </w:rPr>
              <w:t>epuap</w:t>
            </w:r>
            <w:proofErr w:type="spellEnd"/>
            <w:r w:rsidRPr="006067F3">
              <w:rPr>
                <w:rFonts w:ascii="Trebuchet MS" w:hAnsi="Trebuchet MS"/>
                <w:sz w:val="16"/>
                <w:szCs w:val="16"/>
              </w:rPr>
              <w:t xml:space="preserve"> wskazany we wniosku o dofinansowanie</w:t>
            </w:r>
          </w:p>
        </w:tc>
        <w:tc>
          <w:tcPr>
            <w:tcW w:w="1989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Nie dotyczy</w:t>
            </w:r>
          </w:p>
        </w:tc>
        <w:tc>
          <w:tcPr>
            <w:tcW w:w="1365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Nie dotyczy</w:t>
            </w:r>
          </w:p>
        </w:tc>
        <w:tc>
          <w:tcPr>
            <w:tcW w:w="1814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Nie dotyczy</w:t>
            </w:r>
          </w:p>
        </w:tc>
        <w:tc>
          <w:tcPr>
            <w:tcW w:w="1592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Art. 45. ust. 4 Ustawy</w:t>
            </w:r>
          </w:p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D2703" w:rsidRPr="006067F3" w:rsidTr="00F24283">
        <w:tc>
          <w:tcPr>
            <w:tcW w:w="1465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Odwołania</w:t>
            </w:r>
          </w:p>
        </w:tc>
        <w:tc>
          <w:tcPr>
            <w:tcW w:w="1442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Nie dotyczy</w:t>
            </w:r>
          </w:p>
        </w:tc>
        <w:tc>
          <w:tcPr>
            <w:tcW w:w="1989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W formie papierowej na adres CPPC.</w:t>
            </w:r>
          </w:p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W formie elektronicznej na skrytkę /2yki7sk30g/</w:t>
            </w:r>
            <w:proofErr w:type="spellStart"/>
            <w:r w:rsidRPr="006067F3">
              <w:rPr>
                <w:rFonts w:ascii="Trebuchet MS" w:hAnsi="Trebuchet MS"/>
                <w:sz w:val="16"/>
                <w:szCs w:val="16"/>
              </w:rPr>
              <w:t>SkrytkaESP</w:t>
            </w:r>
            <w:proofErr w:type="spellEnd"/>
          </w:p>
        </w:tc>
        <w:tc>
          <w:tcPr>
            <w:tcW w:w="1365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14 dni od uzyskania informacji o negatywnym wyniku oceny.</w:t>
            </w:r>
          </w:p>
        </w:tc>
        <w:tc>
          <w:tcPr>
            <w:tcW w:w="1814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 xml:space="preserve">Pierwszy dzień z 14-dniowego terminu to dzień następujący po </w:t>
            </w:r>
            <w:r w:rsidRPr="006067F3">
              <w:rPr>
                <w:rFonts w:ascii="Trebuchet MS" w:hAnsi="Trebuchet MS"/>
                <w:b/>
                <w:bCs/>
                <w:sz w:val="16"/>
                <w:szCs w:val="16"/>
              </w:rPr>
              <w:t>wysłaniu</w:t>
            </w:r>
            <w:r w:rsidRPr="006067F3">
              <w:rPr>
                <w:rFonts w:ascii="Trebuchet MS" w:hAnsi="Trebuchet MS"/>
                <w:sz w:val="16"/>
                <w:szCs w:val="16"/>
              </w:rPr>
              <w:t xml:space="preserve"> informacji z wynikami oceny. Termin uznaje się za zachowany jeżeli: w przypadku złożenia protestu w formie papierowej protest został nadany w placówce pocztowej do 14 dnia od uzyskania wyników oceny.</w:t>
            </w:r>
          </w:p>
        </w:tc>
        <w:tc>
          <w:tcPr>
            <w:tcW w:w="1592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Art. 45 ust. 4, art. 54 ust. 2, Art. 67 Ustawy</w:t>
            </w:r>
          </w:p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BD2703" w:rsidRPr="006067F3" w:rsidRDefault="00BD2703" w:rsidP="00BD2703">
      <w:pPr>
        <w:rPr>
          <w:rFonts w:ascii="Trebuchet MS" w:hAnsi="Trebuchet MS"/>
          <w:b/>
          <w:bCs/>
        </w:rPr>
      </w:pPr>
    </w:p>
    <w:p w:rsidR="00BD2703" w:rsidRPr="006067F3" w:rsidRDefault="00BD2703" w:rsidP="00BD2703">
      <w:pPr>
        <w:rPr>
          <w:rFonts w:ascii="Trebuchet MS" w:hAnsi="Trebuchet MS"/>
          <w:b/>
          <w:bCs/>
        </w:rPr>
      </w:pPr>
      <w:r w:rsidRPr="006067F3">
        <w:rPr>
          <w:rFonts w:ascii="Trebuchet MS" w:hAnsi="Trebuchet MS"/>
          <w:b/>
          <w:bCs/>
        </w:rPr>
        <w:t xml:space="preserve">Jest: </w:t>
      </w:r>
    </w:p>
    <w:tbl>
      <w:tblPr>
        <w:tblStyle w:val="Tabela-Siatka"/>
        <w:tblW w:w="9667" w:type="dxa"/>
        <w:tblLook w:val="04A0" w:firstRow="1" w:lastRow="0" w:firstColumn="1" w:lastColumn="0" w:noHBand="0" w:noVBand="1"/>
      </w:tblPr>
      <w:tblGrid>
        <w:gridCol w:w="1465"/>
        <w:gridCol w:w="1442"/>
        <w:gridCol w:w="1989"/>
        <w:gridCol w:w="1365"/>
        <w:gridCol w:w="1814"/>
        <w:gridCol w:w="1592"/>
      </w:tblGrid>
      <w:tr w:rsidR="00BD2703" w:rsidRPr="006067F3" w:rsidTr="00F24283">
        <w:tc>
          <w:tcPr>
            <w:tcW w:w="1465" w:type="dxa"/>
            <w:vMerge w:val="restart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Czynność:</w:t>
            </w:r>
          </w:p>
        </w:tc>
        <w:tc>
          <w:tcPr>
            <w:tcW w:w="3431" w:type="dxa"/>
            <w:gridSpan w:val="2"/>
          </w:tcPr>
          <w:p w:rsidR="00BD2703" w:rsidRPr="006067F3" w:rsidRDefault="00BD2703" w:rsidP="00F2428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Formy komunikacji</w:t>
            </w:r>
          </w:p>
        </w:tc>
        <w:tc>
          <w:tcPr>
            <w:tcW w:w="1365" w:type="dxa"/>
            <w:vMerge w:val="restart"/>
          </w:tcPr>
          <w:p w:rsidR="00BD2703" w:rsidRPr="006067F3" w:rsidRDefault="00BD2703" w:rsidP="00F2428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Termin obowiązujący Wnioskodawcę</w:t>
            </w:r>
          </w:p>
        </w:tc>
        <w:tc>
          <w:tcPr>
            <w:tcW w:w="1814" w:type="dxa"/>
            <w:vMerge w:val="restart"/>
          </w:tcPr>
          <w:p w:rsidR="00BD2703" w:rsidRPr="006067F3" w:rsidRDefault="00BD2703" w:rsidP="00F2428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Sposób obliczania terminu</w:t>
            </w:r>
          </w:p>
        </w:tc>
        <w:tc>
          <w:tcPr>
            <w:tcW w:w="1592" w:type="dxa"/>
            <w:vMerge w:val="restart"/>
          </w:tcPr>
          <w:p w:rsidR="00BD2703" w:rsidRPr="006067F3" w:rsidRDefault="00BD2703" w:rsidP="00F2428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Podstawa prawna</w:t>
            </w:r>
          </w:p>
        </w:tc>
      </w:tr>
      <w:tr w:rsidR="00BD2703" w:rsidRPr="006067F3" w:rsidTr="00F24283">
        <w:tc>
          <w:tcPr>
            <w:tcW w:w="1465" w:type="dxa"/>
            <w:vMerge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42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IOK do Wnioskodawcy</w:t>
            </w:r>
          </w:p>
        </w:tc>
        <w:tc>
          <w:tcPr>
            <w:tcW w:w="1989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Wnioskodawca do IOK</w:t>
            </w:r>
          </w:p>
        </w:tc>
        <w:tc>
          <w:tcPr>
            <w:tcW w:w="1365" w:type="dxa"/>
            <w:vMerge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D2703" w:rsidRPr="006067F3" w:rsidTr="00F24283">
        <w:tc>
          <w:tcPr>
            <w:tcW w:w="1465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Złożenie wniosku o dofinansowanie</w:t>
            </w:r>
          </w:p>
        </w:tc>
        <w:tc>
          <w:tcPr>
            <w:tcW w:w="1442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Nie dotyczy</w:t>
            </w:r>
          </w:p>
        </w:tc>
        <w:tc>
          <w:tcPr>
            <w:tcW w:w="1989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Aplikacja, o której mowa w § 7 ust. 7</w:t>
            </w:r>
          </w:p>
        </w:tc>
        <w:tc>
          <w:tcPr>
            <w:tcW w:w="1365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Zgodnie z § 7 ust. 2 i 3</w:t>
            </w:r>
          </w:p>
        </w:tc>
        <w:tc>
          <w:tcPr>
            <w:tcW w:w="1814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Zgodnie z § 7 ust. 9</w:t>
            </w:r>
          </w:p>
        </w:tc>
        <w:tc>
          <w:tcPr>
            <w:tcW w:w="1592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Art. 50 Ustawy</w:t>
            </w:r>
          </w:p>
        </w:tc>
      </w:tr>
      <w:tr w:rsidR="00BD2703" w:rsidRPr="006067F3" w:rsidTr="00F24283">
        <w:tc>
          <w:tcPr>
            <w:tcW w:w="1465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Uzupełnienia w zakresie warunków formalnych lub oczywistych omyłek pisarskich w trybie art. 43 ust. 1 i 2 Ustawy</w:t>
            </w:r>
          </w:p>
        </w:tc>
        <w:tc>
          <w:tcPr>
            <w:tcW w:w="1442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 xml:space="preserve">Adres skrytki </w:t>
            </w:r>
            <w:proofErr w:type="spellStart"/>
            <w:r w:rsidRPr="006067F3">
              <w:rPr>
                <w:rFonts w:ascii="Trebuchet MS" w:hAnsi="Trebuchet MS"/>
                <w:sz w:val="16"/>
                <w:szCs w:val="16"/>
              </w:rPr>
              <w:t>epuap</w:t>
            </w:r>
            <w:proofErr w:type="spellEnd"/>
            <w:r w:rsidRPr="006067F3">
              <w:rPr>
                <w:rFonts w:ascii="Trebuchet MS" w:hAnsi="Trebuchet MS"/>
                <w:sz w:val="16"/>
                <w:szCs w:val="16"/>
              </w:rPr>
              <w:t>/</w:t>
            </w:r>
            <w:r w:rsidRPr="006067F3">
              <w:rPr>
                <w:rFonts w:ascii="Trebuchet MS" w:hAnsi="Trebuchet MS"/>
                <w:b/>
                <w:bCs/>
                <w:sz w:val="16"/>
                <w:szCs w:val="16"/>
              </w:rPr>
              <w:t>adres e-mail w przypadku nie podania adresu skrytki e-PUAP</w:t>
            </w:r>
            <w:r w:rsidRPr="006067F3">
              <w:rPr>
                <w:rFonts w:ascii="Trebuchet MS" w:hAnsi="Trebuchet MS"/>
                <w:sz w:val="16"/>
                <w:szCs w:val="16"/>
              </w:rPr>
              <w:t>, wskazany we wniosku o dofinansowanie</w:t>
            </w:r>
          </w:p>
        </w:tc>
        <w:tc>
          <w:tcPr>
            <w:tcW w:w="1989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  <w:highlight w:val="red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 xml:space="preserve">Skrzynka </w:t>
            </w:r>
            <w:proofErr w:type="spellStart"/>
            <w:r w:rsidRPr="006067F3">
              <w:rPr>
                <w:rFonts w:ascii="Trebuchet MS" w:hAnsi="Trebuchet MS"/>
                <w:sz w:val="16"/>
                <w:szCs w:val="16"/>
              </w:rPr>
              <w:t>ePUAP</w:t>
            </w:r>
            <w:proofErr w:type="spellEnd"/>
            <w:r w:rsidRPr="006067F3">
              <w:rPr>
                <w:rFonts w:ascii="Trebuchet MS" w:hAnsi="Trebuchet MS"/>
                <w:sz w:val="16"/>
                <w:szCs w:val="16"/>
              </w:rPr>
              <w:t>: /2yki7sk30g/</w:t>
            </w:r>
            <w:proofErr w:type="spellStart"/>
            <w:r w:rsidRPr="006067F3">
              <w:rPr>
                <w:rFonts w:ascii="Trebuchet MS" w:hAnsi="Trebuchet MS"/>
                <w:sz w:val="16"/>
                <w:szCs w:val="16"/>
              </w:rPr>
              <w:t>SkrytkaESP</w:t>
            </w:r>
            <w:proofErr w:type="spellEnd"/>
          </w:p>
        </w:tc>
        <w:tc>
          <w:tcPr>
            <w:tcW w:w="1365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 xml:space="preserve">14 dni kalendarzowych </w:t>
            </w:r>
          </w:p>
        </w:tc>
        <w:tc>
          <w:tcPr>
            <w:tcW w:w="1814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Art. 43 ust. 1 i 2 Ustawy w zw. z art. 43 ust. 3 pkt 1 Ustawy</w:t>
            </w:r>
          </w:p>
        </w:tc>
      </w:tr>
      <w:tr w:rsidR="00BD2703" w:rsidRPr="006067F3" w:rsidTr="00F24283">
        <w:tc>
          <w:tcPr>
            <w:tcW w:w="1465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Wysyłanie pytań ekspertów</w:t>
            </w:r>
          </w:p>
        </w:tc>
        <w:tc>
          <w:tcPr>
            <w:tcW w:w="1442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Adres e-mail wskazany we wniosku o dofinansowanie</w:t>
            </w:r>
          </w:p>
        </w:tc>
        <w:tc>
          <w:tcPr>
            <w:tcW w:w="1989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W trybie odpowiedzi na adres e-mail, z którego zostało wysłane zapytanie IOK.</w:t>
            </w:r>
          </w:p>
        </w:tc>
        <w:tc>
          <w:tcPr>
            <w:tcW w:w="1365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Nie krótszy niż 2 dni kalendarzowe</w:t>
            </w:r>
          </w:p>
        </w:tc>
        <w:tc>
          <w:tcPr>
            <w:tcW w:w="1814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Art. 50 Ustawy</w:t>
            </w:r>
          </w:p>
        </w:tc>
      </w:tr>
      <w:tr w:rsidR="00BD2703" w:rsidRPr="006067F3" w:rsidTr="00F24283">
        <w:tc>
          <w:tcPr>
            <w:tcW w:w="1465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Informacja o wynikach oceny</w:t>
            </w:r>
          </w:p>
        </w:tc>
        <w:tc>
          <w:tcPr>
            <w:tcW w:w="1442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 xml:space="preserve">Adres skrytki </w:t>
            </w:r>
            <w:proofErr w:type="spellStart"/>
            <w:r w:rsidRPr="006067F3">
              <w:rPr>
                <w:rFonts w:ascii="Trebuchet MS" w:hAnsi="Trebuchet MS"/>
                <w:sz w:val="16"/>
                <w:szCs w:val="16"/>
              </w:rPr>
              <w:t>epuap</w:t>
            </w:r>
            <w:proofErr w:type="spellEnd"/>
            <w:r w:rsidRPr="006067F3">
              <w:rPr>
                <w:rFonts w:ascii="Trebuchet MS" w:hAnsi="Trebuchet MS"/>
                <w:sz w:val="16"/>
                <w:szCs w:val="16"/>
              </w:rPr>
              <w:t xml:space="preserve"> wskazany we wniosku o dofinansowanie</w:t>
            </w:r>
          </w:p>
        </w:tc>
        <w:tc>
          <w:tcPr>
            <w:tcW w:w="1989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Nie dotyczy</w:t>
            </w:r>
          </w:p>
        </w:tc>
        <w:tc>
          <w:tcPr>
            <w:tcW w:w="1365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Nie dotyczy</w:t>
            </w:r>
          </w:p>
        </w:tc>
        <w:tc>
          <w:tcPr>
            <w:tcW w:w="1814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Nie dotyczy</w:t>
            </w:r>
          </w:p>
        </w:tc>
        <w:tc>
          <w:tcPr>
            <w:tcW w:w="1592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Art. 45. ust. 4 Ustawy</w:t>
            </w:r>
          </w:p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D2703" w:rsidRPr="006067F3" w:rsidTr="00F24283">
        <w:tc>
          <w:tcPr>
            <w:tcW w:w="1465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Odwołania</w:t>
            </w:r>
          </w:p>
        </w:tc>
        <w:tc>
          <w:tcPr>
            <w:tcW w:w="1442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Nie dotyczy</w:t>
            </w:r>
          </w:p>
        </w:tc>
        <w:tc>
          <w:tcPr>
            <w:tcW w:w="1989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t>W formie papierowej na adres CPPC.</w:t>
            </w:r>
          </w:p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lastRenderedPageBreak/>
              <w:t>W formie elektronicznej na skrytkę /2yki7sk30g/</w:t>
            </w:r>
            <w:proofErr w:type="spellStart"/>
            <w:r w:rsidRPr="006067F3">
              <w:rPr>
                <w:rFonts w:ascii="Trebuchet MS" w:hAnsi="Trebuchet MS"/>
                <w:sz w:val="16"/>
                <w:szCs w:val="16"/>
              </w:rPr>
              <w:t>SkrytkaESP</w:t>
            </w:r>
            <w:proofErr w:type="spellEnd"/>
          </w:p>
        </w:tc>
        <w:tc>
          <w:tcPr>
            <w:tcW w:w="1365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lastRenderedPageBreak/>
              <w:t xml:space="preserve">14 dni od uzyskania informacji o </w:t>
            </w:r>
            <w:r w:rsidRPr="006067F3">
              <w:rPr>
                <w:rFonts w:ascii="Trebuchet MS" w:hAnsi="Trebuchet MS"/>
                <w:sz w:val="16"/>
                <w:szCs w:val="16"/>
              </w:rPr>
              <w:lastRenderedPageBreak/>
              <w:t>negatywnym wyniku oceny.</w:t>
            </w:r>
          </w:p>
        </w:tc>
        <w:tc>
          <w:tcPr>
            <w:tcW w:w="1814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lastRenderedPageBreak/>
              <w:t xml:space="preserve">Pierwszy dzień z 14-dniowego terminu to dzień następujący po </w:t>
            </w:r>
            <w:r w:rsidRPr="006067F3">
              <w:rPr>
                <w:rFonts w:ascii="Trebuchet MS" w:hAnsi="Trebuchet MS"/>
                <w:b/>
                <w:bCs/>
                <w:sz w:val="16"/>
                <w:szCs w:val="16"/>
              </w:rPr>
              <w:lastRenderedPageBreak/>
              <w:t>doręczeniu</w:t>
            </w:r>
            <w:r w:rsidRPr="006067F3">
              <w:rPr>
                <w:rFonts w:ascii="Trebuchet MS" w:hAnsi="Trebuchet MS"/>
                <w:sz w:val="16"/>
                <w:szCs w:val="16"/>
              </w:rPr>
              <w:t xml:space="preserve"> informacji z wynikami oceny. Termin uznaje się za zachowany jeżeli: w przypadku złożenia protestu w formie papierowej protest został nadany w placówce pocztowej do 14 dnia od uzyskania wyników oceny.</w:t>
            </w:r>
          </w:p>
        </w:tc>
        <w:tc>
          <w:tcPr>
            <w:tcW w:w="1592" w:type="dxa"/>
          </w:tcPr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  <w:r w:rsidRPr="006067F3">
              <w:rPr>
                <w:rFonts w:ascii="Trebuchet MS" w:hAnsi="Trebuchet MS"/>
                <w:sz w:val="16"/>
                <w:szCs w:val="16"/>
              </w:rPr>
              <w:lastRenderedPageBreak/>
              <w:t>Art. 45 ust. 4, art. 54 ust. 2, Art. 67 Ustawy</w:t>
            </w:r>
          </w:p>
          <w:p w:rsidR="00BD2703" w:rsidRPr="006067F3" w:rsidRDefault="00BD2703" w:rsidP="00F24283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BD2703" w:rsidRPr="006067F3" w:rsidRDefault="00BD2703" w:rsidP="00BD2703">
      <w:pPr>
        <w:rPr>
          <w:rFonts w:ascii="Trebuchet MS" w:hAnsi="Trebuchet MS"/>
        </w:rPr>
      </w:pPr>
    </w:p>
    <w:p w:rsidR="00025452" w:rsidRPr="002E5D8D" w:rsidRDefault="00025452" w:rsidP="00025452">
      <w:pPr>
        <w:pStyle w:val="Nagwek1"/>
        <w:numPr>
          <w:ilvl w:val="0"/>
          <w:numId w:val="4"/>
        </w:numPr>
        <w:rPr>
          <w:rFonts w:ascii="Trebuchet MS" w:hAnsi="Trebuchet MS"/>
          <w:b/>
          <w:color w:val="auto"/>
          <w:sz w:val="21"/>
          <w:szCs w:val="21"/>
        </w:rPr>
      </w:pPr>
      <w:r w:rsidRPr="002E5D8D">
        <w:rPr>
          <w:rFonts w:ascii="Trebuchet MS" w:hAnsi="Trebuchet MS"/>
          <w:b/>
          <w:color w:val="auto"/>
          <w:sz w:val="21"/>
          <w:szCs w:val="21"/>
        </w:rPr>
        <w:t>§ 10.</w:t>
      </w:r>
      <w:bookmarkStart w:id="4" w:name="_Toc27034045"/>
      <w:r w:rsidRPr="002E5D8D">
        <w:rPr>
          <w:rFonts w:ascii="Trebuchet MS" w:hAnsi="Trebuchet MS"/>
          <w:b/>
          <w:color w:val="auto"/>
          <w:sz w:val="21"/>
          <w:szCs w:val="21"/>
        </w:rPr>
        <w:t xml:space="preserve"> Zasady dokonywania oceny formalnej wniosków o dofinansowanie</w:t>
      </w:r>
      <w:bookmarkEnd w:id="4"/>
      <w:r w:rsidRPr="002E5D8D">
        <w:rPr>
          <w:rFonts w:ascii="Trebuchet MS" w:hAnsi="Trebuchet MS"/>
          <w:b/>
          <w:color w:val="auto"/>
          <w:sz w:val="21"/>
          <w:szCs w:val="21"/>
        </w:rPr>
        <w:t xml:space="preserve"> pkt. 11</w:t>
      </w:r>
    </w:p>
    <w:p w:rsidR="00025452" w:rsidRPr="002E5D8D" w:rsidRDefault="00025452" w:rsidP="00025452">
      <w:pPr>
        <w:spacing w:line="276" w:lineRule="auto"/>
        <w:jc w:val="both"/>
        <w:rPr>
          <w:rFonts w:ascii="Trebuchet MS" w:hAnsi="Trebuchet MS"/>
          <w:sz w:val="21"/>
          <w:szCs w:val="21"/>
        </w:rPr>
      </w:pPr>
    </w:p>
    <w:p w:rsidR="00025452" w:rsidRPr="002E5D8D" w:rsidRDefault="00025452" w:rsidP="00025452">
      <w:pPr>
        <w:spacing w:line="276" w:lineRule="auto"/>
        <w:jc w:val="both"/>
        <w:rPr>
          <w:rFonts w:ascii="Trebuchet MS" w:hAnsi="Trebuchet MS"/>
          <w:sz w:val="21"/>
          <w:szCs w:val="21"/>
        </w:rPr>
      </w:pPr>
      <w:r w:rsidRPr="002E5D8D">
        <w:rPr>
          <w:rFonts w:ascii="Trebuchet MS" w:hAnsi="Trebuchet MS"/>
          <w:b/>
          <w:bCs/>
          <w:sz w:val="21"/>
          <w:szCs w:val="21"/>
        </w:rPr>
        <w:t>Było:</w:t>
      </w:r>
      <w:r w:rsidRPr="002E5D8D">
        <w:rPr>
          <w:rFonts w:ascii="Trebuchet MS" w:hAnsi="Trebuchet MS"/>
          <w:sz w:val="21"/>
          <w:szCs w:val="21"/>
        </w:rPr>
        <w:t xml:space="preserve"> „Czas przewidziany na ocenę formalną wniosku o dofinansowanie nie powinien przekroczyć </w:t>
      </w:r>
      <w:r w:rsidRPr="002E5D8D">
        <w:rPr>
          <w:rFonts w:ascii="Trebuchet MS" w:hAnsi="Trebuchet MS"/>
          <w:b/>
          <w:bCs/>
          <w:sz w:val="21"/>
          <w:szCs w:val="21"/>
        </w:rPr>
        <w:t>40</w:t>
      </w:r>
      <w:r w:rsidRPr="002E5D8D">
        <w:rPr>
          <w:rFonts w:ascii="Trebuchet MS" w:hAnsi="Trebuchet MS"/>
          <w:sz w:val="21"/>
          <w:szCs w:val="21"/>
        </w:rPr>
        <w:t xml:space="preserve"> dni licząc od dnia doręczenia KOP wniosku o dofinansowanie albo w przypadku wniosków o dofinansowanie zawierających braki w zakresie warunków formalnych lub oczywiste omyłki, od dnia doręczenia IOK uzupełnionego lub poprawionego, zgodnie z zasadami opisanymi w § 8, wniosku o dofinansowanie do dnia wysłania Wnioskodawcy informacji o wyniku oceny formalnej wniosku” </w:t>
      </w:r>
    </w:p>
    <w:p w:rsidR="00025452" w:rsidRPr="006067F3" w:rsidRDefault="00025452" w:rsidP="00025452">
      <w:pPr>
        <w:spacing w:line="276" w:lineRule="auto"/>
        <w:jc w:val="both"/>
        <w:rPr>
          <w:rFonts w:ascii="Trebuchet MS" w:hAnsi="Trebuchet MS"/>
        </w:rPr>
      </w:pPr>
      <w:r w:rsidRPr="002E5D8D">
        <w:rPr>
          <w:rFonts w:ascii="Trebuchet MS" w:hAnsi="Trebuchet MS"/>
          <w:b/>
          <w:bCs/>
          <w:sz w:val="21"/>
          <w:szCs w:val="21"/>
        </w:rPr>
        <w:t>Jest:</w:t>
      </w:r>
      <w:r w:rsidRPr="002E5D8D">
        <w:rPr>
          <w:rFonts w:ascii="Trebuchet MS" w:hAnsi="Trebuchet MS"/>
          <w:sz w:val="21"/>
          <w:szCs w:val="21"/>
        </w:rPr>
        <w:t xml:space="preserve"> „Czas przewidziany na ocenę formalną wniosku o dofinansowanie nie powinien przekroczyć </w:t>
      </w:r>
      <w:r w:rsidRPr="002E5D8D">
        <w:rPr>
          <w:rFonts w:ascii="Trebuchet MS" w:hAnsi="Trebuchet MS"/>
          <w:b/>
          <w:bCs/>
          <w:sz w:val="21"/>
          <w:szCs w:val="21"/>
        </w:rPr>
        <w:t>30</w:t>
      </w:r>
      <w:r w:rsidRPr="002E5D8D">
        <w:rPr>
          <w:rFonts w:ascii="Trebuchet MS" w:hAnsi="Trebuchet MS"/>
          <w:sz w:val="21"/>
          <w:szCs w:val="21"/>
        </w:rPr>
        <w:t xml:space="preserve"> dni licząc od dnia doręczenia KOP wniosku o dofinansowanie albo w przypadku wniosków o dofinansowanie zawierających braki w zakresie warunków formalnych lub oczywiste omyłki, od dnia doręczenia IOK uzupełnionego lub poprawionego, zgodnie z zasadami opisanymi w § 8, wniosku o dofinansowanie</w:t>
      </w:r>
      <w:r w:rsidRPr="006067F3">
        <w:rPr>
          <w:rFonts w:ascii="Trebuchet MS" w:hAnsi="Trebuchet MS"/>
        </w:rPr>
        <w:t xml:space="preserve"> do dnia wysłania Wnioskodawcy informacji o wyniku oceny formalnej wniosku.”</w:t>
      </w:r>
    </w:p>
    <w:p w:rsidR="006067F3" w:rsidRPr="002E5D8D" w:rsidRDefault="006067F3" w:rsidP="006067F3">
      <w:pPr>
        <w:pStyle w:val="Nagwek1"/>
        <w:numPr>
          <w:ilvl w:val="0"/>
          <w:numId w:val="4"/>
        </w:numPr>
        <w:rPr>
          <w:rFonts w:ascii="Trebuchet MS" w:hAnsi="Trebuchet MS"/>
          <w:b/>
          <w:color w:val="auto"/>
          <w:sz w:val="21"/>
          <w:szCs w:val="21"/>
          <w:u w:val="single"/>
        </w:rPr>
      </w:pPr>
      <w:bookmarkStart w:id="5" w:name="_Toc27034056"/>
      <w:r w:rsidRPr="002E5D8D">
        <w:rPr>
          <w:rFonts w:ascii="Trebuchet MS" w:hAnsi="Trebuchet MS"/>
          <w:b/>
          <w:color w:val="auto"/>
          <w:sz w:val="21"/>
          <w:szCs w:val="21"/>
          <w:u w:val="single"/>
        </w:rPr>
        <w:t xml:space="preserve">Załączniki do Regulaminu konkursu </w:t>
      </w:r>
      <w:bookmarkEnd w:id="5"/>
    </w:p>
    <w:p w:rsidR="002E5D8D" w:rsidRDefault="002E5D8D" w:rsidP="002E5D8D">
      <w:pPr>
        <w:spacing w:line="276" w:lineRule="auto"/>
        <w:jc w:val="both"/>
        <w:rPr>
          <w:rFonts w:ascii="Trebuchet MS" w:hAnsi="Trebuchet MS"/>
          <w:b/>
          <w:bCs/>
          <w:sz w:val="21"/>
          <w:szCs w:val="21"/>
        </w:rPr>
      </w:pPr>
    </w:p>
    <w:p w:rsidR="006067F3" w:rsidRPr="002E5D8D" w:rsidRDefault="006067F3" w:rsidP="002E5D8D">
      <w:pPr>
        <w:spacing w:line="276" w:lineRule="auto"/>
        <w:jc w:val="both"/>
        <w:rPr>
          <w:rFonts w:ascii="Trebuchet MS" w:hAnsi="Trebuchet MS"/>
          <w:sz w:val="21"/>
          <w:szCs w:val="21"/>
        </w:rPr>
      </w:pPr>
      <w:r w:rsidRPr="002E5D8D">
        <w:rPr>
          <w:rFonts w:ascii="Trebuchet MS" w:hAnsi="Trebuchet MS"/>
          <w:b/>
          <w:bCs/>
          <w:sz w:val="21"/>
          <w:szCs w:val="21"/>
        </w:rPr>
        <w:t>Dodano pkt. 3a:</w:t>
      </w:r>
      <w:r w:rsidRPr="002E5D8D">
        <w:rPr>
          <w:rFonts w:ascii="Trebuchet MS" w:hAnsi="Trebuchet MS"/>
          <w:sz w:val="21"/>
          <w:szCs w:val="21"/>
        </w:rPr>
        <w:t xml:space="preserve"> „Formalne i merytoryczne kryteria wyboru projektów – obowiązujące w I rundzie konkursu.3b. Formalne i merytoryczne kryteria wyboru projektów – obowiązujące w II rundzie konkursu.”</w:t>
      </w:r>
    </w:p>
    <w:p w:rsidR="006067F3" w:rsidRPr="006067F3" w:rsidRDefault="006067F3" w:rsidP="006067F3">
      <w:pPr>
        <w:pStyle w:val="Akapitzlist"/>
        <w:spacing w:line="276" w:lineRule="auto"/>
        <w:ind w:left="360"/>
        <w:jc w:val="both"/>
        <w:rPr>
          <w:rFonts w:ascii="Trebuchet MS" w:hAnsi="Trebuchet MS"/>
        </w:rPr>
      </w:pPr>
    </w:p>
    <w:bookmarkEnd w:id="1"/>
    <w:p w:rsidR="00233A38" w:rsidRDefault="00CD7BAD" w:rsidP="003F0FB4">
      <w:r>
        <w:t>Pozostałe dokumenty nie uległy zmianie.</w:t>
      </w:r>
    </w:p>
    <w:p w:rsidR="003F0FB4" w:rsidRDefault="003F0FB4" w:rsidP="000569C4">
      <w:pPr>
        <w:jc w:val="both"/>
      </w:pPr>
      <w:r w:rsidRPr="003F0FB4">
        <w:t>Regulamin</w:t>
      </w:r>
      <w:r w:rsidR="00E81F0A">
        <w:t xml:space="preserve"> </w:t>
      </w:r>
      <w:r w:rsidRPr="003F0FB4">
        <w:t xml:space="preserve">naboru </w:t>
      </w:r>
      <w:r w:rsidR="000569C4">
        <w:t xml:space="preserve">i zaktualizowany wzór wniosku o dofinansowanie </w:t>
      </w:r>
      <w:r w:rsidRPr="003F0FB4">
        <w:t>opublikowano</w:t>
      </w:r>
      <w:r>
        <w:t xml:space="preserve"> </w:t>
      </w:r>
      <w:r w:rsidRPr="003F0FB4">
        <w:t xml:space="preserve">w ramach  dokumentacji  konkursowej  na  stronie  internetowej </w:t>
      </w:r>
      <w:hyperlink r:id="rId5" w:history="1">
        <w:r w:rsidRPr="00717774">
          <w:rPr>
            <w:rStyle w:val="Hipercze"/>
          </w:rPr>
          <w:t>www.cppc.gov.pl</w:t>
        </w:r>
      </w:hyperlink>
      <w:r w:rsidRPr="003F0FB4">
        <w:t>.</w:t>
      </w:r>
    </w:p>
    <w:p w:rsidR="00FF21D3" w:rsidRPr="003F0FB4" w:rsidRDefault="00A41D90" w:rsidP="003F0FB4">
      <w:pPr>
        <w:rPr>
          <w:b/>
        </w:rPr>
      </w:pPr>
      <w:r>
        <w:rPr>
          <w:b/>
        </w:rPr>
        <w:t xml:space="preserve">Zmiany obowiązują </w:t>
      </w:r>
      <w:r w:rsidRPr="005F4D89">
        <w:rPr>
          <w:b/>
        </w:rPr>
        <w:t xml:space="preserve">od </w:t>
      </w:r>
      <w:r w:rsidR="00203E3F">
        <w:rPr>
          <w:b/>
        </w:rPr>
        <w:t>07</w:t>
      </w:r>
      <w:r w:rsidR="005F4D89" w:rsidRPr="005F4D89">
        <w:rPr>
          <w:b/>
        </w:rPr>
        <w:t>.</w:t>
      </w:r>
      <w:r w:rsidR="003F0FB4" w:rsidRPr="005F4D89">
        <w:rPr>
          <w:b/>
        </w:rPr>
        <w:t>0</w:t>
      </w:r>
      <w:r w:rsidR="00203E3F">
        <w:rPr>
          <w:b/>
        </w:rPr>
        <w:t>5</w:t>
      </w:r>
      <w:r w:rsidR="003F0FB4" w:rsidRPr="005F4D89">
        <w:rPr>
          <w:b/>
        </w:rPr>
        <w:t>.2020</w:t>
      </w:r>
      <w:r w:rsidR="003F0FB4" w:rsidRPr="003F0FB4">
        <w:rPr>
          <w:b/>
        </w:rPr>
        <w:t xml:space="preserve"> r.</w:t>
      </w:r>
    </w:p>
    <w:sectPr w:rsidR="00FF21D3" w:rsidRPr="003F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D33"/>
    <w:multiLevelType w:val="hybridMultilevel"/>
    <w:tmpl w:val="08E802B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9308C"/>
    <w:multiLevelType w:val="hybridMultilevel"/>
    <w:tmpl w:val="83467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D287CF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7E5565"/>
    <w:multiLevelType w:val="hybridMultilevel"/>
    <w:tmpl w:val="A85EB7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5606E7"/>
    <w:multiLevelType w:val="hybridMultilevel"/>
    <w:tmpl w:val="F58ED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D2E31"/>
    <w:multiLevelType w:val="hybridMultilevel"/>
    <w:tmpl w:val="036A4C0C"/>
    <w:lvl w:ilvl="0" w:tplc="D8967E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ajorHAnsi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3C242C"/>
    <w:multiLevelType w:val="hybridMultilevel"/>
    <w:tmpl w:val="229AB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F07CD5"/>
    <w:multiLevelType w:val="hybridMultilevel"/>
    <w:tmpl w:val="740C919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1A5378"/>
    <w:multiLevelType w:val="hybridMultilevel"/>
    <w:tmpl w:val="76589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033725"/>
    <w:multiLevelType w:val="hybridMultilevel"/>
    <w:tmpl w:val="918EA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4"/>
    <w:rsid w:val="00025452"/>
    <w:rsid w:val="000279C2"/>
    <w:rsid w:val="00047BCB"/>
    <w:rsid w:val="000569C4"/>
    <w:rsid w:val="00104E14"/>
    <w:rsid w:val="001278A4"/>
    <w:rsid w:val="00161DEF"/>
    <w:rsid w:val="001A2735"/>
    <w:rsid w:val="001D5608"/>
    <w:rsid w:val="00203E3F"/>
    <w:rsid w:val="00206BB0"/>
    <w:rsid w:val="00207C08"/>
    <w:rsid w:val="00233A38"/>
    <w:rsid w:val="0027042D"/>
    <w:rsid w:val="002E5D8D"/>
    <w:rsid w:val="002F7AB0"/>
    <w:rsid w:val="003F0FB4"/>
    <w:rsid w:val="00401CF4"/>
    <w:rsid w:val="00403E99"/>
    <w:rsid w:val="005B7A60"/>
    <w:rsid w:val="005D28A2"/>
    <w:rsid w:val="005F4D89"/>
    <w:rsid w:val="006067F3"/>
    <w:rsid w:val="00710309"/>
    <w:rsid w:val="00752BA2"/>
    <w:rsid w:val="0078267E"/>
    <w:rsid w:val="007E1EB0"/>
    <w:rsid w:val="008D5316"/>
    <w:rsid w:val="00973929"/>
    <w:rsid w:val="00A41D90"/>
    <w:rsid w:val="00B0466B"/>
    <w:rsid w:val="00B76D43"/>
    <w:rsid w:val="00BD2703"/>
    <w:rsid w:val="00C82080"/>
    <w:rsid w:val="00CD7BAD"/>
    <w:rsid w:val="00D15090"/>
    <w:rsid w:val="00D44756"/>
    <w:rsid w:val="00D4592E"/>
    <w:rsid w:val="00D64E38"/>
    <w:rsid w:val="00DA04B0"/>
    <w:rsid w:val="00E32BD6"/>
    <w:rsid w:val="00E46CEE"/>
    <w:rsid w:val="00E81F0A"/>
    <w:rsid w:val="00EA1E73"/>
    <w:rsid w:val="00EF3513"/>
    <w:rsid w:val="00EF7E6A"/>
    <w:rsid w:val="00FC2B28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8FD0"/>
  <w15:chartTrackingRefBased/>
  <w15:docId w15:val="{12F5E4FB-B8C6-48FA-80DB-1D67F1B0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FB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0F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1F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81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7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703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BD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p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Bodych-Biernacka</dc:creator>
  <cp:keywords/>
  <dc:description/>
  <cp:lastModifiedBy>Patrycja Choderska</cp:lastModifiedBy>
  <cp:revision>5</cp:revision>
  <dcterms:created xsi:type="dcterms:W3CDTF">2020-05-08T07:47:00Z</dcterms:created>
  <dcterms:modified xsi:type="dcterms:W3CDTF">2020-05-08T08:00:00Z</dcterms:modified>
</cp:coreProperties>
</file>