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63" w:rsidRPr="00E00EA8" w:rsidRDefault="00C36E63" w:rsidP="00C36E63">
      <w:pPr>
        <w:jc w:val="right"/>
        <w:rPr>
          <w:rFonts w:ascii="Trebuchet MS" w:hAnsi="Trebuchet MS"/>
        </w:rPr>
      </w:pPr>
      <w:bookmarkStart w:id="0" w:name="_GoBack"/>
      <w:bookmarkEnd w:id="0"/>
      <w:r w:rsidRPr="00E00EA8">
        <w:rPr>
          <w:rFonts w:ascii="Trebuchet MS" w:hAnsi="Trebuchet MS"/>
        </w:rPr>
        <w:t xml:space="preserve">Warszawa, </w:t>
      </w:r>
      <w:r>
        <w:rPr>
          <w:rFonts w:ascii="Trebuchet MS" w:hAnsi="Trebuchet MS"/>
        </w:rPr>
        <w:t>11</w:t>
      </w:r>
      <w:r>
        <w:rPr>
          <w:rFonts w:ascii="Trebuchet MS" w:hAnsi="Trebuchet MS"/>
        </w:rPr>
        <w:t xml:space="preserve"> kwietnia </w:t>
      </w:r>
      <w:r w:rsidRPr="00E00EA8">
        <w:rPr>
          <w:rFonts w:ascii="Trebuchet MS" w:hAnsi="Trebuchet MS"/>
        </w:rPr>
        <w:t xml:space="preserve">2018r. </w:t>
      </w:r>
    </w:p>
    <w:p w:rsidR="00C36E63" w:rsidRDefault="00C36E63" w:rsidP="00C36E63">
      <w:pPr>
        <w:jc w:val="center"/>
        <w:rPr>
          <w:rFonts w:ascii="Trebuchet MS" w:hAnsi="Trebuchet MS"/>
        </w:rPr>
      </w:pPr>
    </w:p>
    <w:p w:rsidR="00C36E63" w:rsidRDefault="00C36E63" w:rsidP="00C36E6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Informacja z otwarcia ofert </w:t>
      </w:r>
    </w:p>
    <w:p w:rsidR="00C36E63" w:rsidRPr="00672060" w:rsidRDefault="00C36E63" w:rsidP="00C36E63">
      <w:pPr>
        <w:spacing w:after="0" w:line="360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 xml:space="preserve">Zamawiający informuje, że w ramach zapytania ofertowego na </w:t>
      </w:r>
      <w:r w:rsidRPr="00E00EA8">
        <w:rPr>
          <w:rFonts w:ascii="Trebuchet MS" w:hAnsi="Trebuchet MS"/>
          <w:b/>
        </w:rPr>
        <w:t>„Grupowe ubezpieczenie zdrowotne pracowników Centrum Projektów Polska Cyfrowa oraz członków ich rodzin i partnerów”</w:t>
      </w:r>
      <w:r>
        <w:rPr>
          <w:rFonts w:ascii="Trebuchet MS" w:hAnsi="Trebuchet MS"/>
          <w:b/>
        </w:rPr>
        <w:t xml:space="preserve"> </w:t>
      </w:r>
      <w:r w:rsidRPr="00672060">
        <w:rPr>
          <w:rFonts w:ascii="Trebuchet MS" w:hAnsi="Trebuchet MS"/>
        </w:rPr>
        <w:t xml:space="preserve">w dniu </w:t>
      </w:r>
      <w:r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 kwietnia </w:t>
      </w:r>
      <w:r w:rsidRPr="00672060">
        <w:rPr>
          <w:rFonts w:ascii="Trebuchet MS" w:hAnsi="Trebuchet MS"/>
        </w:rPr>
        <w:t xml:space="preserve"> 2018 r. w terminie</w:t>
      </w:r>
      <w:r>
        <w:rPr>
          <w:rFonts w:ascii="Trebuchet MS" w:hAnsi="Trebuchet MS"/>
        </w:rPr>
        <w:t>,</w:t>
      </w:r>
      <w:r w:rsidRPr="00672060">
        <w:rPr>
          <w:rFonts w:ascii="Trebuchet MS" w:hAnsi="Trebuchet MS"/>
        </w:rPr>
        <w:t xml:space="preserve"> do godz. 1</w:t>
      </w:r>
      <w:r>
        <w:rPr>
          <w:rFonts w:ascii="Trebuchet MS" w:hAnsi="Trebuchet MS"/>
        </w:rPr>
        <w:t>1</w:t>
      </w:r>
      <w:r w:rsidRPr="00672060">
        <w:rPr>
          <w:rFonts w:ascii="Trebuchet MS" w:hAnsi="Trebuchet MS"/>
        </w:rPr>
        <w:t xml:space="preserve">:00 </w:t>
      </w:r>
      <w:r>
        <w:rPr>
          <w:rFonts w:ascii="Trebuchet MS" w:hAnsi="Trebuchet MS"/>
        </w:rPr>
        <w:t>w</w:t>
      </w:r>
      <w:r w:rsidRPr="00F02A6C">
        <w:rPr>
          <w:rFonts w:ascii="Trebuchet MS" w:hAnsi="Trebuchet MS"/>
        </w:rPr>
        <w:t>płynęł</w:t>
      </w:r>
      <w:r>
        <w:rPr>
          <w:rFonts w:ascii="Trebuchet MS" w:hAnsi="Trebuchet MS"/>
        </w:rPr>
        <w:t>a</w:t>
      </w:r>
      <w:r w:rsidRPr="00F02A6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następująca oferta</w:t>
      </w:r>
      <w:r w:rsidRPr="00F02A6C">
        <w:rPr>
          <w:rFonts w:ascii="Trebuchet MS" w:hAnsi="Trebuchet MS"/>
        </w:rPr>
        <w:t>:</w:t>
      </w:r>
    </w:p>
    <w:p w:rsidR="00C36E63" w:rsidRPr="00EC44B7" w:rsidRDefault="00C36E63" w:rsidP="00C36E63">
      <w:pPr>
        <w:spacing w:after="200" w:line="276" w:lineRule="auto"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Powszechny Zakład Ubezpieczeń na Życie Spółka Akcyjna, Aleja Jana Pawła II 24, </w:t>
      </w:r>
      <w:r>
        <w:rPr>
          <w:rFonts w:ascii="Trebuchet MS" w:eastAsia="Calibri" w:hAnsi="Trebuchet MS" w:cs="Times New Roman"/>
          <w:b/>
          <w:bCs/>
        </w:rPr>
        <w:br/>
        <w:t xml:space="preserve">00-133 Warszawa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2577"/>
        <w:gridCol w:w="2177"/>
        <w:gridCol w:w="2167"/>
      </w:tblGrid>
      <w:tr w:rsidR="00C36E63" w:rsidRPr="008537A1" w:rsidTr="00B45649">
        <w:trPr>
          <w:jc w:val="center"/>
        </w:trPr>
        <w:tc>
          <w:tcPr>
            <w:tcW w:w="90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C36E6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CENA</w:t>
            </w:r>
          </w:p>
        </w:tc>
      </w:tr>
      <w:tr w:rsidR="00C36E63" w:rsidRPr="008537A1" w:rsidTr="00B45649">
        <w:trPr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Wariant</w:t>
            </w:r>
          </w:p>
        </w:tc>
        <w:tc>
          <w:tcPr>
            <w:tcW w:w="25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Pakiet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Podstawowy</w:t>
            </w:r>
          </w:p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(cena w zł)</w:t>
            </w:r>
          </w:p>
        </w:tc>
        <w:tc>
          <w:tcPr>
            <w:tcW w:w="2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Poszerzony</w:t>
            </w:r>
          </w:p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(cena w zł)</w:t>
            </w:r>
          </w:p>
        </w:tc>
      </w:tr>
      <w:tr w:rsidR="00C36E63" w:rsidRPr="008537A1" w:rsidTr="00B45649">
        <w:trPr>
          <w:trHeight w:val="459"/>
          <w:jc w:val="center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 xml:space="preserve">Do ubezpieczenia przystąpi </w:t>
            </w:r>
            <w:r w:rsidRPr="008537A1">
              <w:rPr>
                <w:rFonts w:ascii="Trebuchet MS" w:hAnsi="Trebuchet MS" w:cs="Times New Roman"/>
                <w:b/>
                <w:iCs/>
              </w:rPr>
              <w:t>poniżej 30 % pracowników</w:t>
            </w:r>
          </w:p>
        </w:tc>
        <w:tc>
          <w:tcPr>
            <w:tcW w:w="2577" w:type="dxa"/>
            <w:tcBorders>
              <w:top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Indywidualny</w:t>
            </w:r>
          </w:p>
        </w:tc>
        <w:tc>
          <w:tcPr>
            <w:tcW w:w="2177" w:type="dxa"/>
            <w:tcBorders>
              <w:top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55,60</w:t>
            </w: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87,70</w:t>
            </w:r>
          </w:p>
        </w:tc>
      </w:tr>
      <w:tr w:rsidR="00C36E63" w:rsidRPr="008537A1" w:rsidTr="00B45649">
        <w:trPr>
          <w:trHeight w:val="500"/>
          <w:jc w:val="center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Partnerski</w:t>
            </w:r>
          </w:p>
        </w:tc>
        <w:tc>
          <w:tcPr>
            <w:tcW w:w="2177" w:type="dxa"/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111,00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175,20</w:t>
            </w:r>
          </w:p>
        </w:tc>
      </w:tr>
      <w:tr w:rsidR="00C36E63" w:rsidRPr="008537A1" w:rsidTr="00B45649">
        <w:trPr>
          <w:trHeight w:val="533"/>
          <w:jc w:val="center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tcBorders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Rodzinny</w:t>
            </w:r>
          </w:p>
        </w:tc>
        <w:tc>
          <w:tcPr>
            <w:tcW w:w="2177" w:type="dxa"/>
            <w:tcBorders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166,30</w:t>
            </w: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262,60</w:t>
            </w:r>
          </w:p>
        </w:tc>
      </w:tr>
      <w:tr w:rsidR="00C36E63" w:rsidRPr="008537A1" w:rsidTr="00B45649">
        <w:trPr>
          <w:jc w:val="center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 xml:space="preserve">Do ubezpieczenia przystąpi </w:t>
            </w:r>
            <w:r w:rsidRPr="008537A1">
              <w:rPr>
                <w:rFonts w:ascii="Trebuchet MS" w:hAnsi="Trebuchet MS" w:cs="Times New Roman"/>
                <w:b/>
                <w:iCs/>
              </w:rPr>
              <w:t>powyżej 30% pracowników</w:t>
            </w:r>
          </w:p>
        </w:tc>
        <w:tc>
          <w:tcPr>
            <w:tcW w:w="2577" w:type="dxa"/>
            <w:tcBorders>
              <w:top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Indywidualny</w:t>
            </w:r>
          </w:p>
        </w:tc>
        <w:tc>
          <w:tcPr>
            <w:tcW w:w="2177" w:type="dxa"/>
            <w:tcBorders>
              <w:top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44,60</w:t>
            </w: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71,90</w:t>
            </w:r>
          </w:p>
        </w:tc>
      </w:tr>
      <w:tr w:rsidR="00C36E63" w:rsidRPr="008537A1" w:rsidTr="00B45649">
        <w:trPr>
          <w:jc w:val="center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Partnerski</w:t>
            </w:r>
          </w:p>
        </w:tc>
        <w:tc>
          <w:tcPr>
            <w:tcW w:w="2177" w:type="dxa"/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89,00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143,60</w:t>
            </w:r>
          </w:p>
        </w:tc>
      </w:tr>
      <w:tr w:rsidR="00C36E63" w:rsidRPr="008537A1" w:rsidTr="00B45649">
        <w:trPr>
          <w:trHeight w:val="596"/>
          <w:jc w:val="center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tcBorders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Rodzinny</w:t>
            </w:r>
          </w:p>
        </w:tc>
        <w:tc>
          <w:tcPr>
            <w:tcW w:w="2177" w:type="dxa"/>
            <w:tcBorders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133,30</w:t>
            </w: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215,20</w:t>
            </w:r>
          </w:p>
        </w:tc>
      </w:tr>
      <w:tr w:rsidR="00C36E63" w:rsidRPr="008537A1" w:rsidTr="00B45649">
        <w:trPr>
          <w:jc w:val="center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 xml:space="preserve">Do ubezpieczenia przystąpi </w:t>
            </w:r>
            <w:r w:rsidRPr="008537A1">
              <w:rPr>
                <w:rFonts w:ascii="Trebuchet MS" w:hAnsi="Trebuchet MS" w:cs="Times New Roman"/>
                <w:b/>
                <w:iCs/>
              </w:rPr>
              <w:t>powyżej 60 % pracowników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Indywidualny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40,25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60,25</w:t>
            </w:r>
          </w:p>
        </w:tc>
      </w:tr>
      <w:tr w:rsidR="00C36E63" w:rsidRPr="008537A1" w:rsidTr="00B45649">
        <w:trPr>
          <w:jc w:val="center"/>
        </w:trPr>
        <w:tc>
          <w:tcPr>
            <w:tcW w:w="210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Partnerski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80,00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120,00</w:t>
            </w:r>
          </w:p>
        </w:tc>
      </w:tr>
      <w:tr w:rsidR="00C36E63" w:rsidRPr="008537A1" w:rsidTr="00B45649">
        <w:trPr>
          <w:trHeight w:val="435"/>
          <w:jc w:val="center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Rodzinny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119,75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179,75</w:t>
            </w:r>
          </w:p>
        </w:tc>
      </w:tr>
      <w:tr w:rsidR="00C36E63" w:rsidRPr="008537A1" w:rsidTr="00B45649">
        <w:trPr>
          <w:trHeight w:val="768"/>
          <w:jc w:val="center"/>
        </w:trPr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6E63" w:rsidRPr="008537A1" w:rsidRDefault="00C36E63" w:rsidP="00C36E6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Liczba wizyt domowych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2</w:t>
            </w:r>
          </w:p>
        </w:tc>
        <w:tc>
          <w:tcPr>
            <w:tcW w:w="2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4</w:t>
            </w:r>
          </w:p>
        </w:tc>
      </w:tr>
    </w:tbl>
    <w:p w:rsidR="00C36E63" w:rsidRPr="008537A1" w:rsidRDefault="00C36E63" w:rsidP="00C36E63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rebuchet MS" w:hAnsi="Trebuchet MS" w:cs="Times New Roman"/>
          <w:iCs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6"/>
        <w:gridCol w:w="6095"/>
        <w:gridCol w:w="2120"/>
      </w:tblGrid>
      <w:tr w:rsidR="00C36E63" w:rsidRPr="008537A1" w:rsidTr="00B45649">
        <w:trPr>
          <w:trHeight w:val="709"/>
        </w:trPr>
        <w:tc>
          <w:tcPr>
            <w:tcW w:w="846" w:type="dxa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III.</w:t>
            </w:r>
          </w:p>
        </w:tc>
        <w:tc>
          <w:tcPr>
            <w:tcW w:w="6095" w:type="dxa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 xml:space="preserve">Liczba placówek na terenie </w:t>
            </w:r>
            <w:r>
              <w:rPr>
                <w:rFonts w:ascii="Trebuchet MS" w:hAnsi="Trebuchet MS" w:cs="Times New Roman"/>
                <w:iCs/>
              </w:rPr>
              <w:t xml:space="preserve">m.st. </w:t>
            </w:r>
            <w:r w:rsidRPr="008537A1">
              <w:rPr>
                <w:rFonts w:ascii="Trebuchet MS" w:hAnsi="Trebuchet MS" w:cs="Times New Roman"/>
                <w:iCs/>
              </w:rPr>
              <w:t>Warszawy</w:t>
            </w:r>
          </w:p>
        </w:tc>
        <w:tc>
          <w:tcPr>
            <w:tcW w:w="2120" w:type="dxa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165</w:t>
            </w:r>
          </w:p>
        </w:tc>
      </w:tr>
      <w:tr w:rsidR="00C36E63" w:rsidRPr="008537A1" w:rsidTr="00B45649">
        <w:trPr>
          <w:trHeight w:val="706"/>
        </w:trPr>
        <w:tc>
          <w:tcPr>
            <w:tcW w:w="846" w:type="dxa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IV.</w:t>
            </w:r>
          </w:p>
        </w:tc>
        <w:tc>
          <w:tcPr>
            <w:tcW w:w="6095" w:type="dxa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Liczba placówek na terenie Polski</w:t>
            </w:r>
          </w:p>
        </w:tc>
        <w:tc>
          <w:tcPr>
            <w:tcW w:w="2120" w:type="dxa"/>
          </w:tcPr>
          <w:p w:rsidR="00C36E63" w:rsidRPr="008537A1" w:rsidRDefault="00C36E63" w:rsidP="00B45649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>
              <w:rPr>
                <w:rFonts w:ascii="Trebuchet MS" w:hAnsi="Trebuchet MS" w:cs="Times New Roman"/>
                <w:iCs/>
              </w:rPr>
              <w:t>2032</w:t>
            </w:r>
          </w:p>
        </w:tc>
      </w:tr>
    </w:tbl>
    <w:p w:rsidR="00C36E63" w:rsidRPr="00EC44B7" w:rsidRDefault="00C36E63" w:rsidP="00C36E63">
      <w:pPr>
        <w:spacing w:after="200" w:line="276" w:lineRule="auto"/>
        <w:rPr>
          <w:rFonts w:ascii="Trebuchet MS" w:eastAsia="Calibri" w:hAnsi="Trebuchet MS" w:cs="Times New Roman"/>
          <w:b/>
          <w:bCs/>
        </w:rPr>
      </w:pPr>
    </w:p>
    <w:p w:rsidR="00C36E63" w:rsidRDefault="00C36E63" w:rsidP="00C36E63"/>
    <w:p w:rsidR="006D2D5C" w:rsidRDefault="006D2D5C"/>
    <w:sectPr w:rsidR="006D2D5C" w:rsidSect="001621C4">
      <w:headerReference w:type="default" r:id="rId5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4C" w:rsidRDefault="00C36E63">
    <w:pPr>
      <w:pStyle w:val="Nagwek"/>
    </w:pPr>
    <w:r>
      <w:rPr>
        <w:rFonts w:ascii="Trebuchet MS" w:hAnsi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1D4B5" wp14:editId="1719D9C8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1876425" cy="842010"/>
          <wp:effectExtent l="0" t="0" r="9525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AAB"/>
    <w:multiLevelType w:val="hybridMultilevel"/>
    <w:tmpl w:val="3834AB66"/>
    <w:lvl w:ilvl="0" w:tplc="8712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63"/>
    <w:rsid w:val="006D2D5C"/>
    <w:rsid w:val="00C3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2D30"/>
  <w15:chartTrackingRefBased/>
  <w15:docId w15:val="{BFC56301-FDDF-46B0-A11C-5C0A37D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E63"/>
  </w:style>
  <w:style w:type="paragraph" w:styleId="Akapitzlist">
    <w:name w:val="List Paragraph"/>
    <w:basedOn w:val="Normalny"/>
    <w:uiPriority w:val="34"/>
    <w:qFormat/>
    <w:rsid w:val="00C36E63"/>
    <w:pPr>
      <w:ind w:left="720"/>
      <w:contextualSpacing/>
    </w:pPr>
  </w:style>
  <w:style w:type="table" w:styleId="Tabela-Siatka">
    <w:name w:val="Table Grid"/>
    <w:basedOn w:val="Standardowy"/>
    <w:uiPriority w:val="39"/>
    <w:rsid w:val="00C3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dcterms:created xsi:type="dcterms:W3CDTF">2018-04-11T11:23:00Z</dcterms:created>
  <dcterms:modified xsi:type="dcterms:W3CDTF">2018-04-11T11:40:00Z</dcterms:modified>
</cp:coreProperties>
</file>